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18006E"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75"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18006E"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2074"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proofErr w:type="gramStart"/>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w:t>
      </w:r>
      <w:proofErr w:type="gramEnd"/>
      <w:r w:rsidR="001D4BD6" w:rsidRPr="002F4005">
        <w:rPr>
          <w:rFonts w:ascii="Century Gothic" w:eastAsia="Calibri" w:hAnsi="Century Gothic" w:cstheme="minorHAnsi"/>
          <w:b/>
          <w:color w:val="1F497D" w:themeColor="text2"/>
          <w:spacing w:val="-33"/>
          <w:w w:val="125"/>
        </w:rPr>
        <w:t xml:space="preserve">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SAS QUINCAILLERIE RAYMOND LEUGE</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31/03/2026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22555716"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w:t>
      </w:r>
      <w:r w:rsidR="00613F03">
        <w:rPr>
          <w:rFonts w:ascii="Century Gothic" w:eastAsia="Calibri" w:hAnsi="Century Gothic"/>
          <w:color w:val="000000"/>
          <w:sz w:val="20"/>
          <w:szCs w:val="20"/>
        </w:rPr>
        <w:t xml:space="preserve">u fonds de commerce </w:t>
      </w:r>
      <w:r w:rsidRPr="002F4005">
        <w:rPr>
          <w:rFonts w:ascii="Century Gothic" w:eastAsia="Calibri" w:hAnsi="Century Gothic"/>
          <w:color w:val="000000"/>
          <w:sz w:val="20"/>
          <w:szCs w:val="20"/>
        </w:rPr>
        <w:t>de l</w:t>
      </w:r>
      <w:r w:rsidR="00F31D32">
        <w:rPr>
          <w:rFonts w:ascii="Century Gothic" w:eastAsia="Calibri" w:hAnsi="Century Gothic"/>
          <w:color w:val="000000"/>
          <w:sz w:val="20"/>
          <w:szCs w:val="20"/>
        </w:rPr>
        <w:t>a</w:t>
      </w:r>
      <w:r w:rsidR="002F4005" w:rsidRPr="002F4005">
        <w:rPr>
          <w:rFonts w:ascii="Century Gothic" w:hAnsi="Century Gothic" w:cs="Calibri"/>
          <w:sz w:val="20"/>
          <w:szCs w:val="20"/>
        </w:rPr>
        <w:t xml:space="preserve"> SAS QUINCAILLERIE RAYMOND LEUGE</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7534D475"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613F03" w:rsidRPr="00613F03">
        <w:rPr>
          <w:rFonts w:ascii="Century Gothic" w:eastAsia="Calibri" w:hAnsi="Century Gothic"/>
          <w:b/>
          <w:bCs/>
          <w:color w:val="FF0000"/>
          <w:sz w:val="20"/>
          <w:szCs w:val="20"/>
        </w:rPr>
        <w:t>19.05.2026 à 17 h</w:t>
      </w:r>
    </w:p>
    <w:p w14:paraId="5BA66DF3" w14:textId="77777777" w:rsidR="001D4BD6" w:rsidRPr="00613F03"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Ce délai a été fixé pour faciliter les opérations et mettre tous les candidats sur un pied d’égalité. Il peut être prolongé si nécessaire, et notamment si les offres reçues sont incomplètes ou très proches, ce qui </w:t>
      </w:r>
      <w:r w:rsidRPr="00613F03">
        <w:rPr>
          <w:rFonts w:ascii="Century Gothic" w:eastAsia="Calibri" w:hAnsi="Century Gothic"/>
          <w:color w:val="000000"/>
          <w:sz w:val="20"/>
          <w:szCs w:val="20"/>
        </w:rPr>
        <w:t>permet alors de proposer aux candidats d’améliorer leur offre.</w:t>
      </w:r>
    </w:p>
    <w:p w14:paraId="1AD4FAF1" w14:textId="2AA90C27" w:rsidR="001D4BD6" w:rsidRPr="00613F03"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613F03">
        <w:rPr>
          <w:rFonts w:ascii="Century Gothic" w:eastAsia="Calibri" w:hAnsi="Century Gothic"/>
          <w:color w:val="000000"/>
          <w:sz w:val="20"/>
          <w:szCs w:val="20"/>
        </w:rPr>
        <w:t xml:space="preserve">À la fin du délai imparti, toutes les offres reçues </w:t>
      </w:r>
      <w:r w:rsidR="00613F03" w:rsidRPr="00613F03">
        <w:rPr>
          <w:rFonts w:ascii="Century Gothic" w:eastAsia="Calibri" w:hAnsi="Century Gothic"/>
          <w:color w:val="000000"/>
          <w:sz w:val="20"/>
          <w:szCs w:val="20"/>
        </w:rPr>
        <w:t xml:space="preserve">seront examinées. </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613F03">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3243F941"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9437</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613F03" w:rsidP="001D4BD6">
      <w:pPr>
        <w:rPr>
          <w:rFonts w:ascii="Century Gothic" w:hAnsi="Century Gothic"/>
          <w:sz w:val="20"/>
          <w:szCs w:val="20"/>
        </w:rPr>
      </w:pPr>
      <w:r>
        <w:rPr>
          <w:noProof/>
        </w:rPr>
        <w:pict w14:anchorId="1EE3C6CC">
          <v:shape id="Image 1" o:spid="_x0000_i1025" type="#_x0000_t75" style="width:525.7pt;height:295.4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A2CAA">
        <w:trPr>
          <w:trHeight w:hRule="exact" w:val="821"/>
        </w:trPr>
        <w:tc>
          <w:tcPr>
            <w:tcW w:w="2621" w:type="dxa"/>
            <w:tcBorders>
              <w:top w:val="single" w:sz="5" w:space="0" w:color="000000"/>
              <w:left w:val="single" w:sz="5" w:space="0" w:color="000000"/>
              <w:bottom w:val="single" w:sz="5" w:space="0" w:color="000000"/>
              <w:right w:val="single" w:sz="5" w:space="0" w:color="000000"/>
            </w:tcBorders>
          </w:tcPr>
          <w:p w14:paraId="639CE085" w14:textId="77777777" w:rsidR="001D4BD6" w:rsidRDefault="001D4BD6" w:rsidP="007A2CAA">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p w14:paraId="4D895229" w14:textId="77777777" w:rsidR="007A2CAA" w:rsidRPr="002F4005" w:rsidRDefault="007A2CAA" w:rsidP="007A2CAA">
            <w:pPr>
              <w:spacing w:before="304" w:after="278" w:line="229" w:lineRule="exact"/>
              <w:ind w:right="111"/>
              <w:jc w:val="right"/>
              <w:textAlignment w:val="baseline"/>
              <w:rPr>
                <w:rFonts w:ascii="Century Gothic" w:eastAsia="Calibri" w:hAnsi="Century Gothic"/>
                <w:b/>
                <w:color w:val="000000"/>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proofErr w:type="gramStart"/>
            <w:r w:rsidRPr="002F4005">
              <w:rPr>
                <w:rFonts w:ascii="Century Gothic" w:eastAsia="Calibri" w:hAnsi="Century Gothic"/>
                <w:i/>
                <w:color w:val="000000"/>
                <w:sz w:val="20"/>
                <w:szCs w:val="20"/>
              </w:rPr>
              <w:t>rayez</w:t>
            </w:r>
            <w:proofErr w:type="gramEnd"/>
            <w:r w:rsidRPr="002F4005">
              <w:rPr>
                <w:rFonts w:ascii="Century Gothic" w:eastAsia="Calibri" w:hAnsi="Century Gothic"/>
                <w:i/>
                <w:color w:val="000000"/>
                <w:sz w:val="20"/>
                <w:szCs w:val="20"/>
              </w:rPr>
              <w:t xml:space="preserve">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proofErr w:type="gramStart"/>
            <w:r w:rsidRPr="002F4005">
              <w:rPr>
                <w:rFonts w:ascii="Century Gothic" w:eastAsia="Calibri" w:hAnsi="Century Gothic"/>
                <w:color w:val="000000"/>
                <w:spacing w:val="-5"/>
                <w:sz w:val="20"/>
                <w:szCs w:val="20"/>
              </w:rPr>
              <w:t>dont</w:t>
            </w:r>
            <w:proofErr w:type="gramEnd"/>
            <w:r w:rsidRPr="002F4005">
              <w:rPr>
                <w:rFonts w:ascii="Century Gothic" w:eastAsia="Calibri" w:hAnsi="Century Gothic"/>
                <w:color w:val="000000"/>
                <w:spacing w:val="-5"/>
                <w:sz w:val="20"/>
                <w:szCs w:val="20"/>
              </w:rPr>
              <w:t xml:space="preserve">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A2CAA">
        <w:trPr>
          <w:trHeight w:hRule="exact" w:val="1387"/>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A2CAA">
        <w:trPr>
          <w:trHeight w:hRule="exact" w:val="1420"/>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proofErr w:type="gramStart"/>
            <w:r w:rsidRPr="002F4005">
              <w:rPr>
                <w:rFonts w:ascii="Century Gothic" w:eastAsia="Calibri" w:hAnsi="Century Gothic"/>
                <w:i/>
                <w:color w:val="000000"/>
                <w:sz w:val="20"/>
                <w:szCs w:val="20"/>
              </w:rPr>
              <w:t>stock</w:t>
            </w:r>
            <w:proofErr w:type="gramEnd"/>
            <w:r w:rsidRPr="002F4005">
              <w:rPr>
                <w:rFonts w:ascii="Century Gothic" w:eastAsia="Calibri" w:hAnsi="Century Gothic"/>
                <w:i/>
                <w:color w:val="000000"/>
                <w:sz w:val="20"/>
                <w:szCs w:val="20"/>
              </w:rPr>
              <w:t>,</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613F03" w:rsidRPr="002F4005" w14:paraId="115BFFC6"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0E86497A" w14:textId="703C4E0E" w:rsidR="00613F03" w:rsidRPr="002F4005" w:rsidRDefault="00613F03" w:rsidP="007C550F">
            <w:pPr>
              <w:spacing w:before="33" w:after="24" w:line="226" w:lineRule="exact"/>
              <w:ind w:left="106"/>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Stock en TTC</w:t>
            </w:r>
          </w:p>
        </w:tc>
        <w:tc>
          <w:tcPr>
            <w:tcW w:w="7862" w:type="dxa"/>
            <w:tcBorders>
              <w:top w:val="single" w:sz="5" w:space="0" w:color="000000"/>
              <w:left w:val="single" w:sz="5" w:space="0" w:color="000000"/>
              <w:bottom w:val="single" w:sz="5" w:space="0" w:color="000000"/>
              <w:right w:val="single" w:sz="5" w:space="0" w:color="000000"/>
            </w:tcBorders>
            <w:vAlign w:val="center"/>
          </w:tcPr>
          <w:p w14:paraId="50BD831E" w14:textId="548B652C" w:rsidR="00613F03" w:rsidRPr="002F4005" w:rsidRDefault="00613F03" w:rsidP="007C550F">
            <w:pPr>
              <w:spacing w:before="33" w:after="26"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bl>
    <w:p w14:paraId="65F14AA1" w14:textId="49CB51BA" w:rsidR="007A2CAA" w:rsidRDefault="007A2CAA" w:rsidP="001D4BD6">
      <w:pPr>
        <w:rPr>
          <w:rFonts w:ascii="Century Gothic" w:hAnsi="Century Gothic"/>
          <w:sz w:val="20"/>
          <w:szCs w:val="20"/>
        </w:rPr>
      </w:pPr>
      <w:r>
        <w:rPr>
          <w:rFonts w:ascii="Century Gothic" w:hAnsi="Century Gothic"/>
          <w:sz w:val="20"/>
          <w:szCs w:val="20"/>
        </w:rPr>
        <w:t xml:space="preserve"> </w:t>
      </w:r>
    </w:p>
    <w:p w14:paraId="170D6E98" w14:textId="1137F794" w:rsidR="007A2CAA" w:rsidRDefault="007A2CAA" w:rsidP="007A2CAA">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Coordonnée du rédacteur de l’acte de cession (notaire ou avocat)</w:t>
      </w:r>
    </w:p>
    <w:p w14:paraId="795880E0"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53551267"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01AFCB2B"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5011EA9D"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Téléphone</w:t>
      </w:r>
      <w:r>
        <w:rPr>
          <w:rFonts w:ascii="Century Gothic" w:eastAsia="Calibri" w:hAnsi="Century Gothic"/>
          <w:bCs/>
          <w:spacing w:val="-1"/>
          <w:sz w:val="20"/>
          <w:szCs w:val="20"/>
        </w:rPr>
        <w:t> :</w:t>
      </w:r>
    </w:p>
    <w:p w14:paraId="5E5E07A3" w14:textId="1CC0A7F8" w:rsidR="007A2CAA" w:rsidRPr="002F4005" w:rsidRDefault="007A2CAA" w:rsidP="001D4BD6">
      <w:pPr>
        <w:rPr>
          <w:rFonts w:ascii="Century Gothic" w:hAnsi="Century Gothic"/>
          <w:sz w:val="20"/>
          <w:szCs w:val="20"/>
        </w:rPr>
        <w:sectPr w:rsidR="007A2CAA" w:rsidRPr="002F4005" w:rsidSect="007A2CAA">
          <w:pgSz w:w="11909" w:h="16843"/>
          <w:pgMar w:top="720" w:right="557" w:bottom="709"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18006E"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2050"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6097ECAC"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proofErr w:type="gramStart"/>
      <w:r w:rsidRPr="002F4005">
        <w:rPr>
          <w:rFonts w:ascii="Century Gothic" w:eastAsia="Segoe UI" w:hAnsi="Century Gothic"/>
          <w:b/>
          <w:color w:val="303338"/>
          <w:sz w:val="20"/>
          <w:szCs w:val="20"/>
        </w:rPr>
        <w:t>est</w:t>
      </w:r>
      <w:proofErr w:type="gramEnd"/>
      <w:r w:rsidRPr="002F4005">
        <w:rPr>
          <w:rFonts w:ascii="Century Gothic" w:eastAsia="Segoe UI" w:hAnsi="Century Gothic"/>
          <w:b/>
          <w:color w:val="303338"/>
          <w:sz w:val="20"/>
          <w:szCs w:val="20"/>
        </w:rPr>
        <w:t xml:space="preserve"> sincère et véritable </w:t>
      </w:r>
      <w:r w:rsidRPr="002F4005">
        <w:rPr>
          <w:rFonts w:ascii="Century Gothic" w:eastAsia="Segoe UI" w:hAnsi="Century Gothic"/>
          <w:color w:val="303338"/>
          <w:sz w:val="20"/>
          <w:szCs w:val="20"/>
        </w:rPr>
        <w:t>et qu'aucune somme complémentaire n'a été ou ne sera versée à quiconque,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eastAsia="Segoe UI" w:hAnsi="Century Gothic"/>
          <w:i/>
          <w:color w:val="303338"/>
          <w:spacing w:val="4"/>
          <w:sz w:val="20"/>
          <w:szCs w:val="20"/>
        </w:rPr>
        <w:t>admis</w:t>
      </w:r>
      <w:proofErr w:type="gramEnd"/>
      <w:r w:rsidRPr="002F4005">
        <w:rPr>
          <w:rFonts w:ascii="Century Gothic" w:eastAsia="Segoe UI" w:hAnsi="Century Gothic"/>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SAS QUINCAILLERIE RAYMOND LEUGE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4BFD8471" w:rsidR="004B4456" w:rsidRPr="00613F03" w:rsidRDefault="004B4456" w:rsidP="004B4456">
      <w:pPr>
        <w:jc w:val="both"/>
        <w:rPr>
          <w:rFonts w:ascii="Century Gothic" w:hAnsi="Century Gothic"/>
          <w:sz w:val="20"/>
          <w:szCs w:val="20"/>
        </w:rPr>
      </w:pPr>
      <w:r w:rsidRPr="00EC5A97">
        <w:rPr>
          <w:rFonts w:ascii="Century Gothic" w:hAnsi="Century Gothic"/>
          <w:sz w:val="20"/>
          <w:szCs w:val="20"/>
        </w:rPr>
        <w:t xml:space="preserve">Il dépend de l’actif de la liquidation judiciaire les éléments incorporels, corporels et le stock subsistant, d’un fonds de commerce de Quincaillerie, sis 55 avenue de la Libération 33110 LE </w:t>
      </w:r>
      <w:r w:rsidRPr="00613F03">
        <w:rPr>
          <w:rFonts w:ascii="Century Gothic" w:hAnsi="Century Gothic"/>
          <w:sz w:val="20"/>
          <w:szCs w:val="20"/>
        </w:rPr>
        <w:t>BOUSCAT comprenant :</w:t>
      </w:r>
    </w:p>
    <w:p w14:paraId="24334F3E" w14:textId="77777777" w:rsidR="004B4456" w:rsidRPr="00613F03" w:rsidRDefault="004B4456" w:rsidP="004B4456">
      <w:pPr>
        <w:jc w:val="both"/>
        <w:rPr>
          <w:rFonts w:ascii="Century Gothic" w:hAnsi="Century Gothic"/>
          <w:sz w:val="20"/>
          <w:szCs w:val="20"/>
        </w:rPr>
      </w:pPr>
    </w:p>
    <w:p w14:paraId="5F73D078" w14:textId="77777777" w:rsidR="004B4456" w:rsidRPr="00613F03" w:rsidRDefault="004B4456" w:rsidP="004B4456">
      <w:pPr>
        <w:numPr>
          <w:ilvl w:val="0"/>
          <w:numId w:val="1"/>
        </w:numPr>
        <w:jc w:val="both"/>
        <w:rPr>
          <w:rFonts w:ascii="Century Gothic" w:hAnsi="Century Gothic"/>
          <w:sz w:val="20"/>
          <w:szCs w:val="20"/>
        </w:rPr>
      </w:pPr>
      <w:r w:rsidRPr="00613F03">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613F03" w:rsidRDefault="004B4456" w:rsidP="004B4456">
      <w:pPr>
        <w:ind w:left="405"/>
        <w:jc w:val="both"/>
        <w:rPr>
          <w:rFonts w:ascii="Century Gothic" w:hAnsi="Century Gothic"/>
          <w:sz w:val="20"/>
          <w:szCs w:val="20"/>
        </w:rPr>
      </w:pPr>
    </w:p>
    <w:p w14:paraId="2BDD3FF4" w14:textId="4F2F4810" w:rsidR="004B4456" w:rsidRPr="00613F03" w:rsidRDefault="004B4456" w:rsidP="004B4456">
      <w:pPr>
        <w:numPr>
          <w:ilvl w:val="0"/>
          <w:numId w:val="1"/>
        </w:numPr>
        <w:jc w:val="both"/>
        <w:rPr>
          <w:rFonts w:ascii="Century Gothic" w:hAnsi="Century Gothic"/>
          <w:sz w:val="20"/>
          <w:szCs w:val="20"/>
        </w:rPr>
      </w:pPr>
      <w:r w:rsidRPr="00613F03">
        <w:rPr>
          <w:rFonts w:ascii="Century Gothic" w:hAnsi="Century Gothic"/>
          <w:sz w:val="20"/>
          <w:szCs w:val="20"/>
        </w:rPr>
        <w:t xml:space="preserve">Les éléments corporels, sur la base de l’inventaire établi par </w:t>
      </w:r>
      <w:r w:rsidR="00613F03" w:rsidRPr="00613F03">
        <w:rPr>
          <w:rFonts w:ascii="Century Gothic" w:hAnsi="Century Gothic"/>
          <w:sz w:val="20"/>
          <w:szCs w:val="20"/>
        </w:rPr>
        <w:t>la débitrice</w:t>
      </w:r>
      <w:r w:rsidRPr="00613F03">
        <w:rPr>
          <w:rFonts w:ascii="Century Gothic" w:hAnsi="Century Gothic"/>
          <w:sz w:val="20"/>
          <w:szCs w:val="20"/>
        </w:rPr>
        <w:t xml:space="preserve">, à l’ouverture de la procédure, à l’exclusion des éléments revendiqués ou </w:t>
      </w:r>
      <w:proofErr w:type="spellStart"/>
      <w:r w:rsidRPr="00613F03">
        <w:rPr>
          <w:rFonts w:ascii="Century Gothic" w:hAnsi="Century Gothic"/>
          <w:sz w:val="20"/>
          <w:szCs w:val="20"/>
        </w:rPr>
        <w:t>revendicables</w:t>
      </w:r>
      <w:proofErr w:type="spellEnd"/>
      <w:r w:rsidRPr="00613F03">
        <w:rPr>
          <w:rFonts w:ascii="Century Gothic" w:hAnsi="Century Gothic"/>
          <w:sz w:val="20"/>
          <w:szCs w:val="20"/>
        </w:rPr>
        <w:t>, connus ou non à la date des présentes, et/ou déclarés comme étant la propriété de tiers dans l’inventaire</w:t>
      </w:r>
    </w:p>
    <w:p w14:paraId="61EB45D6" w14:textId="77777777" w:rsidR="004B4456" w:rsidRPr="00613F03" w:rsidRDefault="004B4456" w:rsidP="004B4456">
      <w:pPr>
        <w:pStyle w:val="Paragraphedeliste"/>
        <w:rPr>
          <w:rFonts w:ascii="Century Gothic" w:hAnsi="Century Gothic"/>
          <w:sz w:val="20"/>
          <w:szCs w:val="20"/>
        </w:rPr>
      </w:pPr>
    </w:p>
    <w:p w14:paraId="19E3068D" w14:textId="73CAE916" w:rsidR="004B4456" w:rsidRPr="00613F03" w:rsidRDefault="004B4456" w:rsidP="004B4456">
      <w:pPr>
        <w:numPr>
          <w:ilvl w:val="0"/>
          <w:numId w:val="1"/>
        </w:numPr>
        <w:jc w:val="both"/>
        <w:rPr>
          <w:rFonts w:ascii="Century Gothic" w:hAnsi="Century Gothic"/>
          <w:sz w:val="20"/>
          <w:szCs w:val="20"/>
        </w:rPr>
      </w:pPr>
      <w:r w:rsidRPr="00613F03">
        <w:rPr>
          <w:rFonts w:ascii="Century Gothic" w:hAnsi="Century Gothic"/>
          <w:sz w:val="20"/>
          <w:szCs w:val="20"/>
        </w:rPr>
        <w:t xml:space="preserve">Le stock, sur la base de l’inventaire établi par le </w:t>
      </w:r>
      <w:r w:rsidR="00613F03" w:rsidRPr="00613F03">
        <w:rPr>
          <w:rFonts w:ascii="Century Gothic" w:hAnsi="Century Gothic"/>
          <w:sz w:val="20"/>
          <w:szCs w:val="20"/>
        </w:rPr>
        <w:t>débitrice</w:t>
      </w:r>
      <w:r w:rsidRPr="00613F03">
        <w:rPr>
          <w:rFonts w:ascii="Century Gothic" w:hAnsi="Century Gothic"/>
          <w:sz w:val="20"/>
          <w:szCs w:val="20"/>
        </w:rPr>
        <w:t xml:space="preserve">, à l’ouverture de la procédure, à l’exclusion des éléments revendiqués ou </w:t>
      </w:r>
      <w:proofErr w:type="spellStart"/>
      <w:r w:rsidRPr="00613F03">
        <w:rPr>
          <w:rFonts w:ascii="Century Gothic" w:hAnsi="Century Gothic"/>
          <w:sz w:val="20"/>
          <w:szCs w:val="20"/>
        </w:rPr>
        <w:t>revendicables</w:t>
      </w:r>
      <w:proofErr w:type="spellEnd"/>
      <w:r w:rsidRPr="00613F03">
        <w:rPr>
          <w:rFonts w:ascii="Century Gothic" w:hAnsi="Century Gothic"/>
          <w:sz w:val="20"/>
          <w:szCs w:val="20"/>
        </w:rPr>
        <w:t>, connus ou non à la date des présentes, et/ou déclarés comme étant la propriété de tiers dans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9437</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A76CD7A" w14:textId="77777777" w:rsidR="003B4E08"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434ACE5C" w14:textId="77777777" w:rsidR="003B4E08" w:rsidRPr="00EC5A97"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lastRenderedPageBreak/>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lastRenderedPageBreak/>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683045FD"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613F03">
        <w:rPr>
          <w:rFonts w:ascii="Century Gothic" w:hAnsi="Century Gothic"/>
          <w:sz w:val="20"/>
          <w:szCs w:val="20"/>
        </w:rPr>
        <w:t xml:space="preserve">à la signature des actes </w:t>
      </w:r>
      <w:r w:rsidRPr="00EC5A97">
        <w:rPr>
          <w:rFonts w:ascii="Century Gothic" w:hAnsi="Century Gothic"/>
          <w:sz w:val="20"/>
          <w:szCs w:val="20"/>
        </w:rPr>
        <w:t xml:space="preserve">autorisant la cession, ce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1591CD1D" w:rsidR="004B4456" w:rsidRPr="00613F03" w:rsidRDefault="004B4456" w:rsidP="004B4456">
      <w:pPr>
        <w:ind w:left="45"/>
        <w:jc w:val="both"/>
        <w:rPr>
          <w:rFonts w:ascii="Century Gothic" w:hAnsi="Century Gothic"/>
          <w:i/>
          <w:sz w:val="20"/>
          <w:szCs w:val="20"/>
        </w:rPr>
      </w:pPr>
      <w:r w:rsidRPr="00613F03">
        <w:rPr>
          <w:rFonts w:ascii="Century Gothic" w:hAnsi="Century Gothic"/>
          <w:i/>
          <w:sz w:val="20"/>
          <w:szCs w:val="20"/>
        </w:rPr>
        <w:t>Il est précisé qu’au jour de la liquidation judiciaire, le personnel attaché à l’établissement était composé de</w:t>
      </w:r>
      <w:r w:rsidR="00613F03" w:rsidRPr="00613F03">
        <w:rPr>
          <w:rFonts w:ascii="Century Gothic" w:hAnsi="Century Gothic"/>
          <w:i/>
          <w:sz w:val="20"/>
          <w:szCs w:val="20"/>
        </w:rPr>
        <w:t xml:space="preserve"> 1 </w:t>
      </w:r>
      <w:r w:rsidRPr="00613F03">
        <w:rPr>
          <w:rFonts w:ascii="Century Gothic" w:hAnsi="Century Gothic"/>
          <w:i/>
          <w:sz w:val="20"/>
          <w:szCs w:val="20"/>
        </w:rPr>
        <w:t>personne, ayant à ce jour fait l’objet d’une procédure de licenciement pour motif économique. La notification du licenciement est d’ores et déjà intervenue</w:t>
      </w:r>
      <w:r w:rsidR="00613F03" w:rsidRPr="00613F03">
        <w:rPr>
          <w:rFonts w:ascii="Century Gothic" w:hAnsi="Century Gothic"/>
          <w:i/>
          <w:sz w:val="20"/>
          <w:szCs w:val="20"/>
        </w:rPr>
        <w:t xml:space="preserve">. </w:t>
      </w:r>
    </w:p>
    <w:p w14:paraId="41949A60" w14:textId="77777777" w:rsidR="004B4456" w:rsidRPr="00613F03" w:rsidRDefault="004B4456" w:rsidP="004B4456">
      <w:pPr>
        <w:jc w:val="both"/>
        <w:rPr>
          <w:rFonts w:ascii="Century Gothic" w:hAnsi="Century Gothic"/>
          <w:i/>
          <w:sz w:val="20"/>
          <w:szCs w:val="20"/>
        </w:rPr>
      </w:pPr>
    </w:p>
    <w:p w14:paraId="7CF33AA0" w14:textId="77777777" w:rsidR="004B4456" w:rsidRPr="00613F03" w:rsidRDefault="004B4456" w:rsidP="004B4456">
      <w:pPr>
        <w:pBdr>
          <w:bottom w:val="single" w:sz="12" w:space="1" w:color="auto"/>
        </w:pBdr>
        <w:jc w:val="both"/>
        <w:rPr>
          <w:rFonts w:ascii="Century Gothic" w:hAnsi="Century Gothic"/>
          <w:i/>
          <w:sz w:val="20"/>
          <w:szCs w:val="20"/>
        </w:rPr>
      </w:pPr>
      <w:r w:rsidRPr="00613F03">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6510" w14:textId="77777777" w:rsidR="0018006E" w:rsidRDefault="0018006E">
      <w:r>
        <w:separator/>
      </w:r>
    </w:p>
  </w:endnote>
  <w:endnote w:type="continuationSeparator" w:id="0">
    <w:p w14:paraId="4D59E32B" w14:textId="77777777" w:rsidR="0018006E" w:rsidRDefault="0018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83F7" w14:textId="77777777" w:rsidR="0018006E" w:rsidRDefault="0018006E">
      <w:r>
        <w:separator/>
      </w:r>
    </w:p>
  </w:footnote>
  <w:footnote w:type="continuationSeparator" w:id="0">
    <w:p w14:paraId="41581F5E" w14:textId="77777777" w:rsidR="0018006E" w:rsidRDefault="00180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7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8006E"/>
    <w:rsid w:val="001C422C"/>
    <w:rsid w:val="001D210B"/>
    <w:rsid w:val="001D4BD6"/>
    <w:rsid w:val="00217567"/>
    <w:rsid w:val="002D3886"/>
    <w:rsid w:val="002F4005"/>
    <w:rsid w:val="00323365"/>
    <w:rsid w:val="00323DD9"/>
    <w:rsid w:val="003A2E07"/>
    <w:rsid w:val="003B327B"/>
    <w:rsid w:val="003B4156"/>
    <w:rsid w:val="003B4E08"/>
    <w:rsid w:val="003B59D2"/>
    <w:rsid w:val="003D2549"/>
    <w:rsid w:val="00496896"/>
    <w:rsid w:val="004B4456"/>
    <w:rsid w:val="00546DA3"/>
    <w:rsid w:val="00564F8D"/>
    <w:rsid w:val="005D1C5D"/>
    <w:rsid w:val="00613F03"/>
    <w:rsid w:val="00614C64"/>
    <w:rsid w:val="00695665"/>
    <w:rsid w:val="00696BF7"/>
    <w:rsid w:val="006E19F5"/>
    <w:rsid w:val="0076495B"/>
    <w:rsid w:val="00796B06"/>
    <w:rsid w:val="007A2CAA"/>
    <w:rsid w:val="007B15A3"/>
    <w:rsid w:val="007E6F25"/>
    <w:rsid w:val="00886C90"/>
    <w:rsid w:val="008977A0"/>
    <w:rsid w:val="009163DF"/>
    <w:rsid w:val="00955E23"/>
    <w:rsid w:val="009A1A9B"/>
    <w:rsid w:val="00A60A95"/>
    <w:rsid w:val="00A65532"/>
    <w:rsid w:val="00A853D7"/>
    <w:rsid w:val="00AA71CE"/>
    <w:rsid w:val="00B32E2B"/>
    <w:rsid w:val="00B331E4"/>
    <w:rsid w:val="00C32270"/>
    <w:rsid w:val="00C3705D"/>
    <w:rsid w:val="00C54C96"/>
    <w:rsid w:val="00C64CAB"/>
    <w:rsid w:val="00C76252"/>
    <w:rsid w:val="00C942B7"/>
    <w:rsid w:val="00CF1C60"/>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2"/>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2904</Words>
  <Characters>15976</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41</cp:revision>
  <dcterms:created xsi:type="dcterms:W3CDTF">2012-05-03T16:31:00Z</dcterms:created>
  <dcterms:modified xsi:type="dcterms:W3CDTF">2026-04-17T14:46:00Z</dcterms:modified>
</cp:coreProperties>
</file>