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45" w:rsidRDefault="00D87945">
      <w:pPr>
        <w:ind w:left="708" w:firstLine="132"/>
      </w:pPr>
    </w:p>
    <w:p w:rsidR="00D87945" w:rsidRDefault="00F56CDB" w:rsidP="00323365">
      <w:pPr>
        <w:pBdr>
          <w:top w:val="single" w:sz="4" w:space="1" w:color="auto"/>
          <w:left w:val="single" w:sz="4" w:space="4" w:color="auto"/>
          <w:bottom w:val="single" w:sz="4" w:space="1" w:color="auto"/>
          <w:right w:val="single" w:sz="4" w:space="4" w:color="auto"/>
        </w:pBdr>
        <w:jc w:val="center"/>
      </w:pPr>
      <w:r>
        <w:t>CONDI</w:t>
      </w:r>
      <w:r w:rsidR="00D87945">
        <w:t xml:space="preserve">TIONS DE CESSION DU FONDS DE COMMERCE </w:t>
      </w:r>
      <w:r w:rsidR="00323365">
        <w:t xml:space="preserve">DE </w:t>
      </w:r>
      <w:r w:rsidRPr="009163DF">
        <w:t>SAS LES AJONCS-IMMOBILIER</w:t>
      </w:r>
      <w:r>
        <w:t xml:space="preserve"> </w:t>
      </w:r>
      <w:r w:rsidR="00D87945">
        <w:t>EN APPLICATION DES DISPOSITIONS DE L’ARTICLE L642-19 DU CODE DE COMMERCE</w:t>
      </w:r>
    </w:p>
    <w:p w:rsidR="00D87945" w:rsidRDefault="00D87945">
      <w:pPr>
        <w:ind w:left="708" w:firstLine="132"/>
      </w:pPr>
    </w:p>
    <w:p w:rsidR="00D87945" w:rsidRDefault="00D87945">
      <w:pPr>
        <w:ind w:left="708" w:firstLine="132"/>
      </w:pPr>
    </w:p>
    <w:p w:rsidR="00D87945" w:rsidRPr="009A1A9B" w:rsidRDefault="00D87945" w:rsidP="00D87945">
      <w:pPr>
        <w:rPr>
          <w:b/>
          <w:u w:val="single"/>
        </w:rPr>
      </w:pPr>
      <w:r w:rsidRPr="009A1A9B">
        <w:rPr>
          <w:b/>
          <w:u w:val="single"/>
        </w:rPr>
        <w:t>ARTICLE 1</w:t>
      </w:r>
      <w:r w:rsidRPr="009A1A9B">
        <w:rPr>
          <w:b/>
          <w:u w:val="single"/>
          <w:vertAlign w:val="superscript"/>
        </w:rPr>
        <w:t>ER</w:t>
      </w:r>
      <w:r w:rsidRPr="009A1A9B">
        <w:rPr>
          <w:b/>
          <w:u w:val="single"/>
        </w:rPr>
        <w:t xml:space="preserve"> – DESIGNATION</w:t>
      </w:r>
    </w:p>
    <w:p w:rsidR="00D87945" w:rsidRDefault="00D87945" w:rsidP="00D87945"/>
    <w:p w:rsidR="00D87945" w:rsidRPr="009A1A9B" w:rsidRDefault="00D87945" w:rsidP="00D87945">
      <w:pPr>
        <w:rPr>
          <w:u w:val="single"/>
        </w:rPr>
      </w:pPr>
      <w:r>
        <w:tab/>
      </w:r>
      <w:r w:rsidRPr="009A1A9B">
        <w:rPr>
          <w:u w:val="single"/>
        </w:rPr>
        <w:t>PERIMETRE DE LA CESSION</w:t>
      </w:r>
    </w:p>
    <w:p w:rsidR="00D87945" w:rsidRDefault="00D87945" w:rsidP="00D87945"/>
    <w:p w:rsidR="00D87945" w:rsidRDefault="00614C64" w:rsidP="009A1A9B">
      <w:pPr>
        <w:jc w:val="both"/>
      </w:pPr>
      <w:r>
        <w:t>I</w:t>
      </w:r>
      <w:r w:rsidR="00D87945">
        <w:t xml:space="preserve">l dépend de l’actif de la liquidation judiciaire </w:t>
      </w:r>
      <w:r w:rsidR="00FB563A">
        <w:t>les éléments incorporels, corporels, et le stock subsis</w:t>
      </w:r>
      <w:r w:rsidR="00246A47">
        <w:t xml:space="preserve">tant, d’un fonds de commerce d’agence immobilière situé 48-50 avenue Montaigne </w:t>
      </w:r>
      <w:r w:rsidR="00DA65DC">
        <w:t xml:space="preserve">33160 SAINT-MEDARD-EN-JALLES </w:t>
      </w:r>
      <w:r w:rsidR="00FB563A">
        <w:t>comprenant :</w:t>
      </w:r>
    </w:p>
    <w:p w:rsidR="00FB563A" w:rsidRDefault="00FB563A" w:rsidP="009A1A9B">
      <w:pPr>
        <w:numPr>
          <w:ilvl w:val="0"/>
          <w:numId w:val="1"/>
        </w:numPr>
        <w:jc w:val="both"/>
      </w:pPr>
      <w:r>
        <w:t>Les éléments incorporels, à savoir, la clientèle, l’achalandage, l’enseigne, le nom commercial ainsi que le droit au bail commercial, pour le temps restant à courir.</w:t>
      </w:r>
    </w:p>
    <w:p w:rsidR="00FB563A" w:rsidRDefault="00FB563A" w:rsidP="009A1A9B">
      <w:pPr>
        <w:numPr>
          <w:ilvl w:val="0"/>
          <w:numId w:val="1"/>
        </w:numPr>
        <w:jc w:val="both"/>
      </w:pPr>
      <w:r>
        <w:t xml:space="preserve">Les éléments corporels, sur la base de l’inventaire établi par le Commissaire-Priseur, à l’ouverture de la procédure, à l’exclusion des éléments revendiqués ou </w:t>
      </w:r>
      <w:r w:rsidR="00614C64">
        <w:t>revendicables, connus ou non à la date des présentes, et/ou déclarés comme étant la propriété de tiers dans l’inventaire</w:t>
      </w:r>
    </w:p>
    <w:p w:rsidR="00614C64" w:rsidRDefault="00614C64" w:rsidP="009A1A9B">
      <w:pPr>
        <w:numPr>
          <w:ilvl w:val="0"/>
          <w:numId w:val="1"/>
        </w:numPr>
        <w:jc w:val="both"/>
      </w:pPr>
      <w:r>
        <w:t>Le stock, sur la base de l’inventaire établi par le Commissaire-Priseur, à l’ouverture de la procédure, à l’exclusion des éléments revendiqués ou revendicables, connus ou non à la date des présentes, et/ou déclarés comme étant la propriété de tiers dans l’inventaire</w:t>
      </w:r>
    </w:p>
    <w:p w:rsidR="00614C64" w:rsidRDefault="00614C64" w:rsidP="009A1A9B">
      <w:pPr>
        <w:ind w:left="45"/>
        <w:jc w:val="both"/>
      </w:pPr>
    </w:p>
    <w:p w:rsidR="00614C64" w:rsidRDefault="00614C64" w:rsidP="009A1A9B">
      <w:pPr>
        <w:ind w:left="45"/>
        <w:jc w:val="both"/>
      </w:pPr>
      <w:r>
        <w:t>La cession de ces éléments est faite en l’état, aux risques et périls du cessionnaire, et sans autre garantie que celles de leur existence matérielle au jour de la cession</w:t>
      </w:r>
    </w:p>
    <w:p w:rsidR="00614C64" w:rsidRDefault="00614C64" w:rsidP="00614C64">
      <w:pPr>
        <w:ind w:left="45"/>
      </w:pPr>
    </w:p>
    <w:p w:rsidR="00614C64" w:rsidRPr="009A1A9B" w:rsidRDefault="00614C64" w:rsidP="00614C64">
      <w:pPr>
        <w:ind w:left="45"/>
        <w:rPr>
          <w:u w:val="single"/>
        </w:rPr>
      </w:pPr>
      <w:r>
        <w:tab/>
      </w:r>
      <w:r w:rsidRPr="009A1A9B">
        <w:rPr>
          <w:u w:val="single"/>
        </w:rPr>
        <w:t>ELEMENTS EXCLUS DU PERIMETRE DE LA CESSION</w:t>
      </w:r>
    </w:p>
    <w:p w:rsidR="00614C64" w:rsidRDefault="00614C64" w:rsidP="00614C64">
      <w:pPr>
        <w:tabs>
          <w:tab w:val="left" w:pos="6795"/>
        </w:tabs>
      </w:pPr>
    </w:p>
    <w:p w:rsidR="00614C64" w:rsidRDefault="00614C64" w:rsidP="00246A47">
      <w:pPr>
        <w:ind w:left="45"/>
        <w:jc w:val="both"/>
      </w:pPr>
      <w:r>
        <w:t>Les éléments revendiqués ou revendicables, ou mentionnés comme étant la propriété de tiers dans l’inventaire, connus ou non à la date des présentes, sont exclus du périmètre de cession.</w:t>
      </w:r>
    </w:p>
    <w:p w:rsidR="00614C64" w:rsidRDefault="00614C64" w:rsidP="00246A47">
      <w:pPr>
        <w:ind w:left="45"/>
        <w:jc w:val="both"/>
      </w:pPr>
    </w:p>
    <w:p w:rsidR="00614C64" w:rsidRDefault="00614C64" w:rsidP="00246A47">
      <w:pPr>
        <w:ind w:left="45"/>
        <w:jc w:val="both"/>
      </w:pPr>
      <w:r>
        <w:t>Le matériel en crédit-bail, location, dépôt ou objet d’un contrat de prêt, qui ne dépend pas de l’actif de la liquidation judiciaire, est exclu de la présente cession ; par conséquent, l’acquéreur fera son affaire personnelle du rachat ou de la reprise des contrats concernés</w:t>
      </w:r>
      <w:r w:rsidR="00B331E4">
        <w:t xml:space="preserve"> directement avec le cocontractant.</w:t>
      </w:r>
    </w:p>
    <w:p w:rsidR="00B331E4" w:rsidRDefault="00B331E4" w:rsidP="00246A47">
      <w:pPr>
        <w:ind w:left="45"/>
        <w:jc w:val="both"/>
      </w:pPr>
    </w:p>
    <w:p w:rsidR="00B331E4" w:rsidRDefault="00B331E4" w:rsidP="00246A47">
      <w:pPr>
        <w:ind w:left="45"/>
        <w:jc w:val="both"/>
      </w:pPr>
      <w:r>
        <w:t>De la même manière, l’acquéreur fera son affaire personnelle de la renégociation avec les fournisseurs des contrats concernant les lignes téléphoniques, Internet, électricité, eau, ceux-ci pouvant être d’ores et déjà résiliés.</w:t>
      </w:r>
    </w:p>
    <w:p w:rsidR="009A1A9B" w:rsidRDefault="009A1A9B" w:rsidP="00614C64">
      <w:pPr>
        <w:ind w:left="45"/>
      </w:pPr>
    </w:p>
    <w:p w:rsidR="009A1A9B" w:rsidRPr="009A1A9B" w:rsidRDefault="009A1A9B" w:rsidP="00614C64">
      <w:pPr>
        <w:ind w:left="45"/>
        <w:rPr>
          <w:b/>
          <w:u w:val="single"/>
        </w:rPr>
      </w:pPr>
      <w:r w:rsidRPr="009A1A9B">
        <w:rPr>
          <w:b/>
          <w:u w:val="single"/>
        </w:rPr>
        <w:t>ARTICLE 2 – OFFRE D’ACQUISITION</w:t>
      </w:r>
    </w:p>
    <w:p w:rsidR="009A1A9B" w:rsidRDefault="009A1A9B" w:rsidP="00614C64">
      <w:pPr>
        <w:ind w:left="45"/>
      </w:pPr>
    </w:p>
    <w:p w:rsidR="009A1A9B" w:rsidRDefault="009A1A9B" w:rsidP="00614C64">
      <w:pPr>
        <w:ind w:left="45"/>
      </w:pPr>
      <w:r>
        <w:t>L’offre stipulée, ferme et définitive, devra comporter une ventilation du prix entre :</w:t>
      </w:r>
    </w:p>
    <w:p w:rsidR="009A1A9B" w:rsidRDefault="009A1A9B" w:rsidP="009A1A9B">
      <w:pPr>
        <w:numPr>
          <w:ilvl w:val="0"/>
          <w:numId w:val="1"/>
        </w:numPr>
      </w:pPr>
      <w:r>
        <w:t>Les éléments corporels</w:t>
      </w:r>
    </w:p>
    <w:p w:rsidR="009A1A9B" w:rsidRDefault="009A1A9B" w:rsidP="009A1A9B">
      <w:pPr>
        <w:numPr>
          <w:ilvl w:val="0"/>
          <w:numId w:val="1"/>
        </w:numPr>
      </w:pPr>
      <w:r>
        <w:t>Les éléments incorporels</w:t>
      </w:r>
    </w:p>
    <w:p w:rsidR="009A1A9B" w:rsidRDefault="009A1A9B" w:rsidP="009A1A9B">
      <w:pPr>
        <w:numPr>
          <w:ilvl w:val="0"/>
          <w:numId w:val="1"/>
        </w:numPr>
      </w:pPr>
      <w:r>
        <w:t xml:space="preserve">Le stock, avec mention de la TVA applicable, </w:t>
      </w:r>
    </w:p>
    <w:p w:rsidR="009A1A9B" w:rsidRDefault="009A1A9B" w:rsidP="009A1A9B"/>
    <w:p w:rsidR="009A1A9B" w:rsidRDefault="009A1A9B" w:rsidP="009A1A9B">
      <w:pPr>
        <w:pStyle w:val="Default"/>
        <w:jc w:val="both"/>
        <w:rPr>
          <w:szCs w:val="23"/>
        </w:rPr>
      </w:pPr>
      <w:r w:rsidRPr="009A1A9B">
        <w:rPr>
          <w:szCs w:val="23"/>
        </w:rPr>
        <w:t xml:space="preserve">A titre de garantie, l’offre </w:t>
      </w:r>
      <w:r w:rsidRPr="009A1A9B">
        <w:rPr>
          <w:szCs w:val="23"/>
          <w:u w:val="single"/>
        </w:rPr>
        <w:t>devra être accompagnée</w:t>
      </w:r>
      <w:r w:rsidRPr="009A1A9B">
        <w:rPr>
          <w:szCs w:val="23"/>
        </w:rPr>
        <w:t xml:space="preserve"> </w:t>
      </w:r>
      <w:r w:rsidR="00323365" w:rsidRPr="00323365">
        <w:rPr>
          <w:szCs w:val="23"/>
        </w:rPr>
        <w:t xml:space="preserve">d’un chèque d’arrhes et de dédit de 10 % </w:t>
      </w:r>
      <w:r w:rsidRPr="00323365">
        <w:rPr>
          <w:szCs w:val="23"/>
        </w:rPr>
        <w:t>du prix total offert,</w:t>
      </w:r>
      <w:r w:rsidRPr="009A1A9B">
        <w:rPr>
          <w:szCs w:val="23"/>
        </w:rPr>
        <w:t xml:space="preserve"> libellé à l’ordre de la SELARL MALMEZAT-PRAT</w:t>
      </w:r>
      <w:r w:rsidR="00246A47">
        <w:rPr>
          <w:szCs w:val="23"/>
        </w:rPr>
        <w:t>-LUCAS-DABADIE</w:t>
      </w:r>
      <w:bookmarkStart w:id="0" w:name="_GoBack"/>
      <w:bookmarkEnd w:id="0"/>
      <w:r w:rsidRPr="009A1A9B">
        <w:rPr>
          <w:szCs w:val="23"/>
        </w:rPr>
        <w:t xml:space="preserve"> ; ce dépôt restera acquis à la Liquidation Judiciaire en cas de non réalisation de la cession du fait du cessionnaire, en considération du caractère ferme de l’offre formulée. </w:t>
      </w:r>
    </w:p>
    <w:p w:rsidR="00323365" w:rsidRDefault="00323365" w:rsidP="009A1A9B">
      <w:pPr>
        <w:pStyle w:val="Default"/>
        <w:jc w:val="both"/>
        <w:rPr>
          <w:szCs w:val="23"/>
        </w:rPr>
      </w:pPr>
    </w:p>
    <w:p w:rsidR="00323365" w:rsidRDefault="00323365" w:rsidP="00323365">
      <w:pPr>
        <w:tabs>
          <w:tab w:val="left" w:pos="720"/>
        </w:tabs>
        <w:autoSpaceDE w:val="0"/>
        <w:autoSpaceDN w:val="0"/>
        <w:adjustRightInd w:val="0"/>
        <w:ind w:right="140"/>
        <w:jc w:val="both"/>
        <w:rPr>
          <w:b/>
          <w:bCs/>
          <w:color w:val="000000"/>
        </w:rPr>
      </w:pPr>
      <w:r>
        <w:rPr>
          <w:b/>
          <w:bCs/>
          <w:color w:val="000000"/>
        </w:rPr>
        <w:t>Toute offre devra être accompagnée d'une lettre d'intention de la banque ou de tout autre organisme financier prêteur OU d’une attestation de disponibilité des fonds.</w:t>
      </w:r>
    </w:p>
    <w:p w:rsidR="00323365" w:rsidRPr="009A1A9B" w:rsidRDefault="00323365" w:rsidP="009A1A9B">
      <w:pPr>
        <w:pStyle w:val="Default"/>
        <w:jc w:val="both"/>
        <w:rPr>
          <w:szCs w:val="23"/>
        </w:rPr>
      </w:pPr>
    </w:p>
    <w:p w:rsidR="009A1A9B" w:rsidRPr="009A1A9B" w:rsidRDefault="009A1A9B" w:rsidP="009A1A9B">
      <w:pPr>
        <w:pStyle w:val="Default"/>
        <w:jc w:val="both"/>
        <w:rPr>
          <w:szCs w:val="23"/>
        </w:rPr>
      </w:pPr>
    </w:p>
    <w:p w:rsidR="00B331E4" w:rsidRDefault="009A1A9B" w:rsidP="00DA6C5B">
      <w:pPr>
        <w:jc w:val="both"/>
        <w:rPr>
          <w:szCs w:val="23"/>
        </w:rPr>
      </w:pPr>
      <w:r w:rsidRPr="009A1A9B">
        <w:rPr>
          <w:szCs w:val="23"/>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rsidR="009A1A9B" w:rsidRPr="009A1A9B" w:rsidRDefault="009A1A9B" w:rsidP="009A1A9B">
      <w:pPr>
        <w:autoSpaceDE w:val="0"/>
        <w:autoSpaceDN w:val="0"/>
        <w:adjustRightInd w:val="0"/>
        <w:jc w:val="both"/>
        <w:rPr>
          <w:rFonts w:ascii="Wingdings" w:hAnsi="Wingdings" w:cs="Wingdings"/>
          <w:color w:val="000000"/>
          <w:sz w:val="28"/>
        </w:rPr>
      </w:pPr>
    </w:p>
    <w:p w:rsidR="009A1A9B" w:rsidRPr="009A1A9B" w:rsidRDefault="009A1A9B" w:rsidP="009A1A9B">
      <w:pPr>
        <w:autoSpaceDE w:val="0"/>
        <w:autoSpaceDN w:val="0"/>
        <w:adjustRightInd w:val="0"/>
        <w:jc w:val="both"/>
        <w:rPr>
          <w:color w:val="000000"/>
          <w:szCs w:val="23"/>
        </w:rPr>
      </w:pPr>
      <w:r w:rsidRPr="009A1A9B">
        <w:rPr>
          <w:rFonts w:ascii="Wingdings" w:hAnsi="Wingdings" w:cs="Wingdings"/>
          <w:color w:val="000000"/>
          <w:szCs w:val="23"/>
        </w:rPr>
        <w:t></w:t>
      </w:r>
      <w:r w:rsidRPr="009A1A9B">
        <w:rPr>
          <w:rFonts w:ascii="Wingdings" w:hAnsi="Wingdings" w:cs="Wingdings"/>
          <w:color w:val="000000"/>
          <w:szCs w:val="23"/>
        </w:rPr>
        <w:t></w:t>
      </w:r>
      <w:r w:rsidRPr="009A1A9B">
        <w:rPr>
          <w:i/>
          <w:iCs/>
          <w:color w:val="000000"/>
          <w:szCs w:val="23"/>
        </w:rPr>
        <w:t>que les fonds engagés par lui ne proviennent pas d’une infraction passible d’une peine privative de liberté supérieure à un an ou ne participent pas au financement du terrorisme (article L.561-15-I 1</w:t>
      </w:r>
      <w:r w:rsidRPr="009A1A9B">
        <w:rPr>
          <w:i/>
          <w:iCs/>
          <w:color w:val="000000"/>
          <w:sz w:val="18"/>
          <w:szCs w:val="16"/>
        </w:rPr>
        <w:t xml:space="preserve">er </w:t>
      </w:r>
      <w:r w:rsidRPr="009A1A9B">
        <w:rPr>
          <w:i/>
          <w:iCs/>
          <w:color w:val="000000"/>
          <w:szCs w:val="23"/>
        </w:rPr>
        <w:t xml:space="preserve">alinéa) </w:t>
      </w:r>
    </w:p>
    <w:p w:rsidR="009A1A9B" w:rsidRPr="009A1A9B" w:rsidRDefault="009A1A9B" w:rsidP="009A1A9B">
      <w:pPr>
        <w:autoSpaceDE w:val="0"/>
        <w:autoSpaceDN w:val="0"/>
        <w:adjustRightInd w:val="0"/>
        <w:jc w:val="both"/>
        <w:rPr>
          <w:color w:val="000000"/>
          <w:szCs w:val="23"/>
        </w:rPr>
      </w:pPr>
    </w:p>
    <w:p w:rsidR="009A1A9B" w:rsidRPr="009A1A9B" w:rsidRDefault="009A1A9B" w:rsidP="009A1A9B">
      <w:pPr>
        <w:autoSpaceDE w:val="0"/>
        <w:autoSpaceDN w:val="0"/>
        <w:adjustRightInd w:val="0"/>
        <w:jc w:val="both"/>
        <w:rPr>
          <w:i/>
          <w:iCs/>
          <w:color w:val="000000"/>
          <w:szCs w:val="23"/>
        </w:rPr>
      </w:pPr>
      <w:r w:rsidRPr="009A1A9B">
        <w:rPr>
          <w:rFonts w:ascii="Wingdings" w:hAnsi="Wingdings" w:cs="Wingdings"/>
          <w:color w:val="000000"/>
          <w:szCs w:val="23"/>
        </w:rPr>
        <w:t></w:t>
      </w:r>
      <w:r w:rsidRPr="009A1A9B">
        <w:rPr>
          <w:rFonts w:ascii="Wingdings" w:hAnsi="Wingdings" w:cs="Wingdings"/>
          <w:color w:val="000000"/>
          <w:szCs w:val="23"/>
        </w:rPr>
        <w:t></w:t>
      </w:r>
      <w:r w:rsidRPr="009A1A9B">
        <w:rPr>
          <w:i/>
          <w:iCs/>
          <w:color w:val="000000"/>
          <w:szCs w:val="23"/>
        </w:rPr>
        <w:t xml:space="preserve">que les opérations envisagées dans le cadre de la cession ne sont pas liées au blanchiment des capitaux ou blanchiment du terrorisme (article L.561-16 1er alinéa). </w:t>
      </w:r>
    </w:p>
    <w:p w:rsidR="009A1A9B" w:rsidRPr="009A1A9B" w:rsidRDefault="009A1A9B" w:rsidP="009A1A9B">
      <w:pPr>
        <w:autoSpaceDE w:val="0"/>
        <w:autoSpaceDN w:val="0"/>
        <w:adjustRightInd w:val="0"/>
        <w:jc w:val="both"/>
        <w:rPr>
          <w:color w:val="000000"/>
          <w:szCs w:val="23"/>
        </w:rPr>
      </w:pPr>
    </w:p>
    <w:p w:rsidR="009A1A9B" w:rsidRPr="009A1A9B" w:rsidRDefault="009A1A9B" w:rsidP="009A1A9B">
      <w:pPr>
        <w:ind w:left="45"/>
        <w:jc w:val="both"/>
        <w:rPr>
          <w:sz w:val="32"/>
        </w:rPr>
      </w:pPr>
      <w:r w:rsidRPr="009A1A9B">
        <w:rPr>
          <w:color w:val="000000"/>
          <w:szCs w:val="23"/>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B331E4" w:rsidRPr="009A1A9B" w:rsidRDefault="00B331E4" w:rsidP="009A1A9B">
      <w:pPr>
        <w:ind w:left="45"/>
        <w:jc w:val="both"/>
        <w:rPr>
          <w:sz w:val="36"/>
        </w:rPr>
      </w:pPr>
    </w:p>
    <w:p w:rsidR="009A1A9B" w:rsidRPr="009A1A9B" w:rsidRDefault="009A1A9B" w:rsidP="009A1A9B">
      <w:pPr>
        <w:pStyle w:val="Default"/>
        <w:rPr>
          <w:b/>
          <w:bCs/>
          <w:u w:val="single"/>
        </w:rPr>
      </w:pPr>
      <w:r w:rsidRPr="009A1A9B">
        <w:rPr>
          <w:b/>
          <w:bCs/>
          <w:u w:val="single"/>
        </w:rPr>
        <w:t xml:space="preserve">ARTICLE 3 </w:t>
      </w:r>
      <w:r w:rsidRPr="009A1A9B">
        <w:rPr>
          <w:u w:val="single"/>
        </w:rPr>
        <w:t xml:space="preserve">- </w:t>
      </w:r>
      <w:r w:rsidRPr="009A1A9B">
        <w:rPr>
          <w:b/>
          <w:bCs/>
          <w:u w:val="single"/>
        </w:rPr>
        <w:t xml:space="preserve">QUALITE DE L’OFFRANT </w:t>
      </w:r>
    </w:p>
    <w:p w:rsidR="009A1A9B" w:rsidRPr="009A1A9B" w:rsidRDefault="009A1A9B" w:rsidP="009A1A9B">
      <w:pPr>
        <w:pStyle w:val="Default"/>
      </w:pPr>
    </w:p>
    <w:p w:rsidR="009A1A9B" w:rsidRDefault="009A1A9B" w:rsidP="009A1A9B">
      <w:pPr>
        <w:pStyle w:val="Default"/>
        <w:jc w:val="both"/>
      </w:pPr>
      <w:r w:rsidRPr="009A1A9B">
        <w:t xml:space="preserve">L’acquéreur atteste qu’il n’est pas soumis à l’interdiction figurant à l’article L.642.3 du code de commerce, qui interdit au débiteur ou aux dirigeants de droit ou de fait, directement ou par personne interposée, ainsi qu’aux parents et alliés de ceux-ci jusqu’au deuxième degré inclusivement, de se porter acquéreur des actifs de la liquidation judiciaire. </w:t>
      </w:r>
    </w:p>
    <w:p w:rsidR="009A1A9B" w:rsidRPr="009A1A9B" w:rsidRDefault="009A1A9B" w:rsidP="009A1A9B">
      <w:pPr>
        <w:pStyle w:val="Default"/>
        <w:jc w:val="both"/>
      </w:pPr>
    </w:p>
    <w:p w:rsidR="009A1A9B" w:rsidRDefault="009A1A9B" w:rsidP="009A1A9B">
      <w:pPr>
        <w:pStyle w:val="Default"/>
        <w:jc w:val="both"/>
      </w:pPr>
      <w:r w:rsidRPr="009A1A9B">
        <w:t xml:space="preserve">Dans l’hypothèse d’une offre formulée par une personne morale, celle-ci devra être assortie des statuts et d’un extrait K-bis. </w:t>
      </w:r>
    </w:p>
    <w:p w:rsidR="009A1A9B" w:rsidRPr="009A1A9B" w:rsidRDefault="009A1A9B" w:rsidP="009A1A9B">
      <w:pPr>
        <w:pStyle w:val="Default"/>
        <w:jc w:val="both"/>
      </w:pPr>
    </w:p>
    <w:p w:rsidR="009A1A9B" w:rsidRPr="009A1A9B" w:rsidRDefault="009A1A9B" w:rsidP="009A1A9B">
      <w:pPr>
        <w:pStyle w:val="Default"/>
        <w:jc w:val="both"/>
      </w:pPr>
      <w:r w:rsidRPr="009A1A9B">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9A1A9B">
        <w:rPr>
          <w:i/>
          <w:iCs/>
        </w:rPr>
        <w:t xml:space="preserve">(etc.) </w:t>
      </w:r>
      <w:r w:rsidRPr="009A1A9B">
        <w:t xml:space="preserve">: </w:t>
      </w:r>
    </w:p>
    <w:p w:rsidR="009A1A9B" w:rsidRPr="009A1A9B" w:rsidRDefault="009A1A9B" w:rsidP="009A1A9B">
      <w:pPr>
        <w:pStyle w:val="Default"/>
        <w:jc w:val="both"/>
      </w:pPr>
      <w:r w:rsidRPr="009A1A9B">
        <w:rPr>
          <w:i/>
          <w:iCs/>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9A1A9B">
        <w:rPr>
          <w:b/>
          <w:bCs/>
          <w:i/>
          <w:iCs/>
        </w:rPr>
        <w:t xml:space="preserve">et dont il se porte garant </w:t>
      </w:r>
      <w:r w:rsidRPr="009A1A9B">
        <w:rPr>
          <w:i/>
          <w:iCs/>
        </w:rPr>
        <w:t xml:space="preserve">». </w:t>
      </w:r>
    </w:p>
    <w:p w:rsidR="009A1A9B" w:rsidRDefault="009A1A9B" w:rsidP="009A1A9B">
      <w:pPr>
        <w:pStyle w:val="Default"/>
        <w:jc w:val="both"/>
        <w:rPr>
          <w:b/>
          <w:bCs/>
        </w:rPr>
      </w:pPr>
    </w:p>
    <w:p w:rsidR="009A1A9B" w:rsidRPr="009A1A9B" w:rsidRDefault="009A1A9B" w:rsidP="009A1A9B">
      <w:pPr>
        <w:pStyle w:val="Default"/>
        <w:jc w:val="both"/>
        <w:rPr>
          <w:b/>
          <w:bCs/>
          <w:u w:val="single"/>
        </w:rPr>
      </w:pPr>
      <w:r w:rsidRPr="009A1A9B">
        <w:rPr>
          <w:b/>
          <w:bCs/>
          <w:u w:val="single"/>
        </w:rPr>
        <w:t xml:space="preserve">ARTICLE 4 </w:t>
      </w:r>
      <w:r w:rsidRPr="009A1A9B">
        <w:rPr>
          <w:u w:val="single"/>
        </w:rPr>
        <w:t xml:space="preserve">- </w:t>
      </w:r>
      <w:r w:rsidRPr="009A1A9B">
        <w:rPr>
          <w:b/>
          <w:bCs/>
          <w:u w:val="single"/>
        </w:rPr>
        <w:t xml:space="preserve">OBLIGATION DE L’ACQUEREUR </w:t>
      </w:r>
    </w:p>
    <w:p w:rsidR="009A1A9B" w:rsidRPr="009A1A9B" w:rsidRDefault="009A1A9B" w:rsidP="009A1A9B">
      <w:pPr>
        <w:pStyle w:val="Default"/>
        <w:jc w:val="both"/>
      </w:pPr>
    </w:p>
    <w:p w:rsidR="009A1A9B" w:rsidRPr="009A1A9B" w:rsidRDefault="009A1A9B" w:rsidP="009A1A9B">
      <w:pPr>
        <w:pStyle w:val="Default"/>
        <w:jc w:val="both"/>
      </w:pPr>
      <w:r w:rsidRPr="009A1A9B">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9A1A9B" w:rsidRDefault="009A1A9B" w:rsidP="009A1A9B">
      <w:pPr>
        <w:pStyle w:val="Default"/>
        <w:jc w:val="both"/>
        <w:rPr>
          <w:b/>
          <w:bCs/>
        </w:rPr>
      </w:pPr>
    </w:p>
    <w:p w:rsidR="003B59D2" w:rsidRPr="003B59D2" w:rsidRDefault="003B59D2" w:rsidP="009A1A9B">
      <w:pPr>
        <w:pStyle w:val="Default"/>
        <w:jc w:val="both"/>
        <w:rPr>
          <w:b/>
          <w:bCs/>
          <w:i/>
        </w:rPr>
      </w:pPr>
      <w:r w:rsidRPr="003B59D2">
        <w:rPr>
          <w:i/>
          <w:sz w:val="23"/>
          <w:szCs w:val="23"/>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rsidR="003B59D2" w:rsidRDefault="003B59D2" w:rsidP="009A1A9B">
      <w:pPr>
        <w:pStyle w:val="Default"/>
        <w:jc w:val="both"/>
        <w:rPr>
          <w:b/>
          <w:bCs/>
        </w:rPr>
      </w:pPr>
    </w:p>
    <w:p w:rsidR="009A1A9B" w:rsidRDefault="009A1A9B" w:rsidP="009A1A9B">
      <w:pPr>
        <w:pStyle w:val="Default"/>
        <w:jc w:val="both"/>
        <w:rPr>
          <w:b/>
          <w:bCs/>
          <w:u w:val="single"/>
        </w:rPr>
      </w:pPr>
      <w:r w:rsidRPr="009A1A9B">
        <w:rPr>
          <w:b/>
          <w:bCs/>
          <w:u w:val="single"/>
        </w:rPr>
        <w:t xml:space="preserve">ARTICLE 5 </w:t>
      </w:r>
      <w:r w:rsidRPr="009A1A9B">
        <w:rPr>
          <w:u w:val="single"/>
        </w:rPr>
        <w:t xml:space="preserve">- </w:t>
      </w:r>
      <w:r w:rsidRPr="009A1A9B">
        <w:rPr>
          <w:b/>
          <w:bCs/>
          <w:u w:val="single"/>
        </w:rPr>
        <w:t xml:space="preserve">BAIL COMMERCIAL </w:t>
      </w:r>
    </w:p>
    <w:p w:rsidR="009A1A9B" w:rsidRPr="009A1A9B" w:rsidRDefault="009A1A9B" w:rsidP="009A1A9B">
      <w:pPr>
        <w:pStyle w:val="Default"/>
        <w:jc w:val="both"/>
        <w:rPr>
          <w:u w:val="single"/>
        </w:rPr>
      </w:pPr>
    </w:p>
    <w:p w:rsidR="009A1A9B" w:rsidRPr="009A1A9B" w:rsidRDefault="009A1A9B" w:rsidP="009A1A9B">
      <w:pPr>
        <w:pStyle w:val="Default"/>
        <w:jc w:val="both"/>
      </w:pPr>
      <w:r w:rsidRPr="009A1A9B">
        <w:t xml:space="preserve">Le cessionnaire prendra en charge le paiement des loyers à compter de l’entrée en jouissance, réputée intervenir le lendemain de l’ordonnance autorisant la cession à son profit. </w:t>
      </w:r>
    </w:p>
    <w:p w:rsidR="009A1A9B" w:rsidRDefault="009A1A9B" w:rsidP="009A1A9B">
      <w:pPr>
        <w:pStyle w:val="Default"/>
        <w:jc w:val="both"/>
      </w:pPr>
    </w:p>
    <w:p w:rsidR="009A1A9B" w:rsidRDefault="009A1A9B" w:rsidP="009A1A9B">
      <w:pPr>
        <w:pStyle w:val="Default"/>
        <w:jc w:val="both"/>
      </w:pPr>
      <w:r w:rsidRPr="009A1A9B">
        <w:t xml:space="preserve">Le cas échéant, à la signature de l’acte de cession définitif, l’acquéreur s’engage à reconstituer le dépôt de garantie entre les mains du bailleur. </w:t>
      </w:r>
    </w:p>
    <w:p w:rsidR="009A1A9B" w:rsidRPr="009A1A9B" w:rsidRDefault="009A1A9B" w:rsidP="009A1A9B">
      <w:pPr>
        <w:pStyle w:val="Default"/>
        <w:jc w:val="both"/>
      </w:pPr>
    </w:p>
    <w:p w:rsidR="009A1A9B" w:rsidRDefault="009A1A9B" w:rsidP="009A1A9B">
      <w:pPr>
        <w:ind w:left="45"/>
        <w:jc w:val="both"/>
        <w:rPr>
          <w:b/>
          <w:bCs/>
        </w:rPr>
      </w:pPr>
      <w:r w:rsidRPr="009A1A9B">
        <w:rPr>
          <w:b/>
          <w:bCs/>
        </w:rPr>
        <w:lastRenderedPageBreak/>
        <w:t>Plus généralement, l’acquéreur s’engage à respecter l’intégralité des dispositions contenues dans le bail commercial qui lui a été communiqué.</w:t>
      </w:r>
    </w:p>
    <w:p w:rsidR="00DA6C5B" w:rsidRDefault="00DA6C5B" w:rsidP="009A1A9B">
      <w:pPr>
        <w:ind w:left="45"/>
        <w:jc w:val="both"/>
        <w:rPr>
          <w:b/>
          <w:bCs/>
        </w:rPr>
      </w:pPr>
    </w:p>
    <w:p w:rsidR="009A1A9B" w:rsidRDefault="009A1A9B" w:rsidP="009A1A9B">
      <w:pPr>
        <w:pStyle w:val="Default"/>
        <w:jc w:val="both"/>
        <w:rPr>
          <w:b/>
          <w:bCs/>
          <w:u w:val="single"/>
        </w:rPr>
      </w:pPr>
      <w:r w:rsidRPr="009A1A9B">
        <w:rPr>
          <w:b/>
          <w:bCs/>
          <w:u w:val="single"/>
        </w:rPr>
        <w:t xml:space="preserve">ARTICLE 6 –ENTREE EN JOUISSANCE </w:t>
      </w:r>
    </w:p>
    <w:p w:rsidR="009A1A9B" w:rsidRPr="009A1A9B" w:rsidRDefault="009A1A9B" w:rsidP="009A1A9B">
      <w:pPr>
        <w:pStyle w:val="Default"/>
        <w:jc w:val="both"/>
        <w:rPr>
          <w:u w:val="single"/>
        </w:rPr>
      </w:pPr>
    </w:p>
    <w:p w:rsidR="009A1A9B" w:rsidRPr="009A1A9B" w:rsidRDefault="009A1A9B" w:rsidP="009A1A9B">
      <w:pPr>
        <w:pStyle w:val="Default"/>
        <w:jc w:val="both"/>
      </w:pPr>
      <w:r w:rsidRPr="009A1A9B">
        <w:t xml:space="preserve">L’entrée en jouissance est réputée intervenir le lendemain de l’ordonnance autorisant la cession, ce qui implique notamment le paiement par le cessionnaire à compter de cette date du loyer, des charges, y compris les fournitures d’eau, électricité, gaz. </w:t>
      </w:r>
    </w:p>
    <w:p w:rsidR="009A1A9B" w:rsidRDefault="009A1A9B" w:rsidP="009A1A9B">
      <w:pPr>
        <w:pStyle w:val="Default"/>
        <w:jc w:val="both"/>
      </w:pPr>
    </w:p>
    <w:p w:rsidR="009A1A9B" w:rsidRPr="009A1A9B" w:rsidRDefault="009A1A9B" w:rsidP="009A1A9B">
      <w:pPr>
        <w:pStyle w:val="Default"/>
        <w:jc w:val="both"/>
      </w:pPr>
      <w:r w:rsidRPr="009A1A9B">
        <w:t xml:space="preserve">Le cessionnaire s’engage à souscrire, à cette date, une police d’assurance couvrant les risques liés à l’exploitation du fonds et à l’occupation du local commercial. </w:t>
      </w:r>
    </w:p>
    <w:p w:rsidR="009A1A9B" w:rsidRDefault="009A1A9B" w:rsidP="009A1A9B">
      <w:pPr>
        <w:pStyle w:val="Default"/>
        <w:jc w:val="both"/>
        <w:rPr>
          <w:b/>
          <w:bCs/>
        </w:rPr>
      </w:pPr>
    </w:p>
    <w:p w:rsidR="009A1A9B" w:rsidRPr="009A1A9B" w:rsidRDefault="009A1A9B" w:rsidP="009A1A9B">
      <w:pPr>
        <w:pStyle w:val="Default"/>
        <w:ind w:firstLine="708"/>
        <w:jc w:val="both"/>
        <w:rPr>
          <w:sz w:val="22"/>
          <w:u w:val="single"/>
        </w:rPr>
      </w:pPr>
      <w:r w:rsidRPr="009A1A9B">
        <w:rPr>
          <w:bCs/>
          <w:sz w:val="22"/>
          <w:u w:val="single"/>
        </w:rPr>
        <w:t xml:space="preserve">DROIT DE PREEMPTION </w:t>
      </w:r>
    </w:p>
    <w:p w:rsidR="009A1A9B" w:rsidRDefault="009A1A9B" w:rsidP="009A1A9B">
      <w:pPr>
        <w:pStyle w:val="Default"/>
        <w:jc w:val="both"/>
      </w:pPr>
    </w:p>
    <w:p w:rsidR="009A1A9B" w:rsidRDefault="009A1A9B" w:rsidP="009A1A9B">
      <w:pPr>
        <w:pStyle w:val="Default"/>
        <w:jc w:val="both"/>
      </w:pPr>
      <w:r w:rsidRPr="009A1A9B">
        <w:t xml:space="preserve">Le cessionnaire reconnaît être informé de l’existence d’un droit de préemption légal au profit des communes, relatif aux cessions intervenant dans le périmètre de sauvegarde du commerce et de l’artisanat. </w:t>
      </w:r>
    </w:p>
    <w:p w:rsidR="009A1A9B" w:rsidRPr="009A1A9B" w:rsidRDefault="009A1A9B" w:rsidP="009A1A9B">
      <w:pPr>
        <w:pStyle w:val="Default"/>
        <w:jc w:val="both"/>
      </w:pPr>
    </w:p>
    <w:p w:rsidR="009A1A9B" w:rsidRPr="009A1A9B" w:rsidRDefault="009A1A9B" w:rsidP="009A1A9B">
      <w:pPr>
        <w:pStyle w:val="Default"/>
        <w:jc w:val="both"/>
      </w:pPr>
      <w:r w:rsidRPr="009A1A9B">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9A1A9B" w:rsidRDefault="009A1A9B" w:rsidP="009A1A9B">
      <w:pPr>
        <w:pStyle w:val="Default"/>
        <w:jc w:val="both"/>
        <w:rPr>
          <w:b/>
          <w:bCs/>
        </w:rPr>
      </w:pPr>
    </w:p>
    <w:p w:rsidR="009A1A9B" w:rsidRDefault="009A1A9B" w:rsidP="009A1A9B">
      <w:pPr>
        <w:pStyle w:val="Default"/>
        <w:ind w:firstLine="708"/>
        <w:jc w:val="both"/>
        <w:rPr>
          <w:bCs/>
          <w:sz w:val="22"/>
          <w:u w:val="single"/>
        </w:rPr>
      </w:pPr>
      <w:r w:rsidRPr="009A1A9B">
        <w:rPr>
          <w:bCs/>
          <w:sz w:val="22"/>
          <w:u w:val="single"/>
        </w:rPr>
        <w:t xml:space="preserve">VOIES DE RECOURS </w:t>
      </w:r>
    </w:p>
    <w:p w:rsidR="009A1A9B" w:rsidRPr="009A1A9B" w:rsidRDefault="009A1A9B" w:rsidP="009A1A9B">
      <w:pPr>
        <w:pStyle w:val="Default"/>
        <w:ind w:firstLine="708"/>
        <w:jc w:val="both"/>
        <w:rPr>
          <w:sz w:val="22"/>
          <w:u w:val="single"/>
        </w:rPr>
      </w:pPr>
    </w:p>
    <w:p w:rsidR="009A1A9B" w:rsidRPr="009A1A9B" w:rsidRDefault="009A1A9B" w:rsidP="009A1A9B">
      <w:pPr>
        <w:pStyle w:val="Default"/>
        <w:jc w:val="both"/>
      </w:pPr>
      <w:r w:rsidRPr="009A1A9B">
        <w:t xml:space="preserve">L’acquéreur déclare faire son affaire personnelle et conserver à sa charge, </w:t>
      </w:r>
      <w:r w:rsidRPr="009A1A9B">
        <w:rPr>
          <w:b/>
          <w:bCs/>
          <w:u w:val="single"/>
        </w:rPr>
        <w:t>sans aucun recours contre la liquidation judiciaire</w:t>
      </w:r>
      <w:r w:rsidRPr="009A1A9B">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rsidR="009A1A9B" w:rsidRDefault="009A1A9B" w:rsidP="009A1A9B">
      <w:pPr>
        <w:pStyle w:val="Default"/>
        <w:jc w:val="both"/>
        <w:rPr>
          <w:b/>
          <w:bCs/>
        </w:rPr>
      </w:pPr>
    </w:p>
    <w:p w:rsidR="009A1A9B" w:rsidRPr="009A1A9B" w:rsidRDefault="009A1A9B" w:rsidP="009A1A9B">
      <w:pPr>
        <w:pStyle w:val="Default"/>
        <w:jc w:val="both"/>
        <w:rPr>
          <w:u w:val="single"/>
        </w:rPr>
      </w:pPr>
      <w:r w:rsidRPr="009A1A9B">
        <w:rPr>
          <w:b/>
          <w:bCs/>
          <w:u w:val="single"/>
        </w:rPr>
        <w:t xml:space="preserve">ARTICLE 7 </w:t>
      </w:r>
      <w:r w:rsidRPr="009A1A9B">
        <w:rPr>
          <w:u w:val="single"/>
        </w:rPr>
        <w:t xml:space="preserve">- </w:t>
      </w:r>
      <w:r w:rsidRPr="009A1A9B">
        <w:rPr>
          <w:b/>
          <w:bCs/>
          <w:u w:val="single"/>
        </w:rPr>
        <w:t xml:space="preserve">FRAIS IMPUTABLES A L’ACQUEREUR </w:t>
      </w:r>
    </w:p>
    <w:p w:rsidR="009A1A9B" w:rsidRDefault="009A1A9B" w:rsidP="009A1A9B">
      <w:pPr>
        <w:pStyle w:val="Default"/>
        <w:jc w:val="both"/>
      </w:pPr>
    </w:p>
    <w:p w:rsidR="009A1A9B" w:rsidRPr="009A1A9B" w:rsidRDefault="009A1A9B" w:rsidP="009A1A9B">
      <w:pPr>
        <w:pStyle w:val="Default"/>
        <w:jc w:val="both"/>
      </w:pPr>
      <w:r w:rsidRPr="009A1A9B">
        <w:t xml:space="preserve">L’ensemble des frais liés à la cession, les honoraires de rédaction d’acte ainsi que tous les droits, taxes et autres débours qui pourront en résulter, sont à la charge de l’acquéreur, qui s’y oblige. </w:t>
      </w:r>
    </w:p>
    <w:p w:rsidR="009A1A9B" w:rsidRDefault="009A1A9B" w:rsidP="009A1A9B">
      <w:pPr>
        <w:pStyle w:val="Default"/>
        <w:jc w:val="both"/>
        <w:rPr>
          <w:b/>
          <w:bCs/>
        </w:rPr>
      </w:pPr>
    </w:p>
    <w:p w:rsidR="009A1A9B" w:rsidRDefault="009A1A9B" w:rsidP="009A1A9B">
      <w:pPr>
        <w:pStyle w:val="Default"/>
        <w:jc w:val="both"/>
        <w:rPr>
          <w:b/>
          <w:bCs/>
          <w:u w:val="single"/>
        </w:rPr>
      </w:pPr>
      <w:r w:rsidRPr="009A1A9B">
        <w:rPr>
          <w:b/>
          <w:bCs/>
          <w:u w:val="single"/>
        </w:rPr>
        <w:t xml:space="preserve">ARTICLE 8 </w:t>
      </w:r>
      <w:r w:rsidRPr="009A1A9B">
        <w:rPr>
          <w:u w:val="single"/>
        </w:rPr>
        <w:t xml:space="preserve">- </w:t>
      </w:r>
      <w:r w:rsidRPr="009A1A9B">
        <w:rPr>
          <w:b/>
          <w:bCs/>
          <w:u w:val="single"/>
        </w:rPr>
        <w:t xml:space="preserve">FORMALITES </w:t>
      </w:r>
    </w:p>
    <w:p w:rsidR="009A1A9B" w:rsidRPr="009A1A9B" w:rsidRDefault="009A1A9B" w:rsidP="009A1A9B">
      <w:pPr>
        <w:pStyle w:val="Default"/>
        <w:jc w:val="both"/>
        <w:rPr>
          <w:u w:val="single"/>
        </w:rPr>
      </w:pPr>
    </w:p>
    <w:p w:rsidR="009A1A9B" w:rsidRPr="009A1A9B" w:rsidRDefault="009A1A9B" w:rsidP="009A1A9B">
      <w:pPr>
        <w:pStyle w:val="Default"/>
        <w:jc w:val="both"/>
      </w:pPr>
      <w:r w:rsidRPr="009A1A9B">
        <w:t xml:space="preserve">Le Cessionnaire exécutera, dans les délais légaux, les formalités de publicité prévues à l’article L.141-12 du Code de Commerce. </w:t>
      </w:r>
    </w:p>
    <w:p w:rsidR="009A1A9B" w:rsidRPr="009A1A9B" w:rsidRDefault="009A1A9B" w:rsidP="009A1A9B">
      <w:pPr>
        <w:pStyle w:val="Default"/>
        <w:jc w:val="both"/>
      </w:pPr>
      <w:r w:rsidRPr="009A1A9B">
        <w:t xml:space="preserve">Par ailleurs, les formalités de radiation des inscriptions seront à la charge du Cessionnaire et se feront conformément aux dispositions de l’article R.642-38 du Code de Commerce. </w:t>
      </w:r>
    </w:p>
    <w:p w:rsidR="009A1A9B" w:rsidRDefault="009A1A9B" w:rsidP="009A1A9B">
      <w:pPr>
        <w:pStyle w:val="Default"/>
        <w:jc w:val="both"/>
        <w:rPr>
          <w:b/>
          <w:bCs/>
        </w:rPr>
      </w:pPr>
    </w:p>
    <w:p w:rsidR="009A1A9B" w:rsidRDefault="009A1A9B" w:rsidP="009A1A9B">
      <w:pPr>
        <w:pStyle w:val="Default"/>
        <w:jc w:val="both"/>
        <w:rPr>
          <w:b/>
          <w:bCs/>
          <w:u w:val="single"/>
        </w:rPr>
      </w:pPr>
      <w:r w:rsidRPr="009A1A9B">
        <w:rPr>
          <w:b/>
          <w:bCs/>
          <w:u w:val="single"/>
        </w:rPr>
        <w:t xml:space="preserve">ARTICLE 9 </w:t>
      </w:r>
      <w:r w:rsidRPr="009A1A9B">
        <w:rPr>
          <w:u w:val="single"/>
        </w:rPr>
        <w:t xml:space="preserve">- </w:t>
      </w:r>
      <w:r w:rsidRPr="009A1A9B">
        <w:rPr>
          <w:b/>
          <w:bCs/>
          <w:u w:val="single"/>
        </w:rPr>
        <w:t xml:space="preserve">PERSONNEL SALARIE </w:t>
      </w:r>
    </w:p>
    <w:p w:rsidR="009A1A9B" w:rsidRPr="009A1A9B" w:rsidRDefault="009A1A9B" w:rsidP="009A1A9B">
      <w:pPr>
        <w:pStyle w:val="Default"/>
        <w:jc w:val="both"/>
        <w:rPr>
          <w:u w:val="single"/>
        </w:rPr>
      </w:pPr>
    </w:p>
    <w:p w:rsidR="009A1A9B" w:rsidRPr="00886C90" w:rsidRDefault="009A1A9B" w:rsidP="009A1A9B">
      <w:pPr>
        <w:ind w:left="45"/>
        <w:jc w:val="both"/>
        <w:rPr>
          <w:i/>
        </w:rPr>
      </w:pPr>
      <w:r w:rsidRPr="00886C90">
        <w:rPr>
          <w:i/>
        </w:rPr>
        <w:t>Il n’existait pas, à notre connaissance, de personnel salarié à l’ouverture de la procédure.</w:t>
      </w:r>
    </w:p>
    <w:p w:rsidR="009A1A9B" w:rsidRDefault="009A1A9B" w:rsidP="009A1A9B">
      <w:pPr>
        <w:ind w:left="45"/>
        <w:jc w:val="both"/>
      </w:pPr>
    </w:p>
    <w:p w:rsidR="009A1A9B" w:rsidRDefault="009A1A9B" w:rsidP="009A1A9B">
      <w:pPr>
        <w:pStyle w:val="Default"/>
        <w:rPr>
          <w:sz w:val="26"/>
          <w:szCs w:val="26"/>
        </w:rPr>
      </w:pPr>
      <w:r>
        <w:rPr>
          <w:i/>
          <w:iCs/>
          <w:sz w:val="26"/>
          <w:szCs w:val="26"/>
        </w:rPr>
        <w:t xml:space="preserve">Je soussigné(e)………………………………………………………………………………… </w:t>
      </w:r>
    </w:p>
    <w:p w:rsidR="009A1A9B" w:rsidRDefault="009A1A9B" w:rsidP="009A1A9B">
      <w:pPr>
        <w:pStyle w:val="Default"/>
        <w:rPr>
          <w:sz w:val="26"/>
          <w:szCs w:val="26"/>
        </w:rPr>
      </w:pPr>
      <w:r>
        <w:rPr>
          <w:i/>
          <w:iCs/>
          <w:sz w:val="26"/>
          <w:szCs w:val="26"/>
        </w:rPr>
        <w:t xml:space="preserve">………………………………………………………………………………………………… , </w:t>
      </w:r>
    </w:p>
    <w:p w:rsidR="009A1A9B" w:rsidRDefault="009A1A9B" w:rsidP="009A1A9B">
      <w:pPr>
        <w:pStyle w:val="Default"/>
        <w:rPr>
          <w:sz w:val="26"/>
          <w:szCs w:val="26"/>
        </w:rPr>
      </w:pPr>
      <w:proofErr w:type="gramStart"/>
      <w:r>
        <w:rPr>
          <w:i/>
          <w:iCs/>
          <w:sz w:val="26"/>
          <w:szCs w:val="26"/>
        </w:rPr>
        <w:t>atteste</w:t>
      </w:r>
      <w:proofErr w:type="gramEnd"/>
      <w:r>
        <w:rPr>
          <w:i/>
          <w:iCs/>
          <w:sz w:val="26"/>
          <w:szCs w:val="26"/>
        </w:rPr>
        <w:t xml:space="preserve"> avoir pris connaissance de l’intégralité des conditions de cession fixées ci-dessus, et déclare les accepter sans exception ni réserve, dans l’hypothèse où la cession serait autorisée à mon profit. </w:t>
      </w:r>
    </w:p>
    <w:p w:rsidR="009A1A9B" w:rsidRDefault="009A1A9B" w:rsidP="009A1A9B">
      <w:pPr>
        <w:pStyle w:val="Default"/>
        <w:rPr>
          <w:i/>
          <w:iCs/>
          <w:sz w:val="26"/>
          <w:szCs w:val="26"/>
        </w:rPr>
      </w:pPr>
    </w:p>
    <w:p w:rsidR="009A1A9B" w:rsidRDefault="009A1A9B" w:rsidP="009A1A9B">
      <w:pPr>
        <w:pStyle w:val="Default"/>
        <w:rPr>
          <w:sz w:val="26"/>
          <w:szCs w:val="26"/>
        </w:rPr>
      </w:pPr>
      <w:r>
        <w:rPr>
          <w:i/>
          <w:iCs/>
          <w:sz w:val="26"/>
          <w:szCs w:val="26"/>
        </w:rPr>
        <w:t xml:space="preserve">Pour valoir ce que de droit. </w:t>
      </w:r>
    </w:p>
    <w:p w:rsidR="009A1A9B" w:rsidRDefault="009A1A9B" w:rsidP="009A1A9B">
      <w:pPr>
        <w:pStyle w:val="Default"/>
        <w:rPr>
          <w:sz w:val="26"/>
          <w:szCs w:val="26"/>
        </w:rPr>
      </w:pPr>
      <w:r>
        <w:rPr>
          <w:i/>
          <w:iCs/>
          <w:sz w:val="26"/>
          <w:szCs w:val="26"/>
        </w:rPr>
        <w:t xml:space="preserve">Fait à : </w:t>
      </w:r>
    </w:p>
    <w:p w:rsidR="009A1A9B" w:rsidRDefault="009A1A9B" w:rsidP="009A1A9B">
      <w:pPr>
        <w:pStyle w:val="Default"/>
        <w:rPr>
          <w:sz w:val="26"/>
          <w:szCs w:val="26"/>
        </w:rPr>
      </w:pPr>
      <w:r>
        <w:rPr>
          <w:i/>
          <w:iCs/>
          <w:sz w:val="26"/>
          <w:szCs w:val="26"/>
        </w:rPr>
        <w:t xml:space="preserve">Le : </w:t>
      </w:r>
    </w:p>
    <w:p w:rsidR="009A1A9B" w:rsidRPr="009A1A9B" w:rsidRDefault="009A1A9B" w:rsidP="009A1A9B">
      <w:pPr>
        <w:jc w:val="both"/>
      </w:pPr>
      <w:r>
        <w:rPr>
          <w:i/>
          <w:iCs/>
          <w:sz w:val="26"/>
          <w:szCs w:val="26"/>
        </w:rPr>
        <w:t>Signature :</w:t>
      </w:r>
    </w:p>
    <w:sectPr w:rsidR="009A1A9B" w:rsidRPr="009A1A9B" w:rsidSect="00FE7CA3">
      <w:footerReference w:type="first" r:id="rId9"/>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246A47"/>
    <w:rsid w:val="00323365"/>
    <w:rsid w:val="003B327B"/>
    <w:rsid w:val="003B4156"/>
    <w:rsid w:val="003B59D2"/>
    <w:rsid w:val="003D2549"/>
    <w:rsid w:val="00614C64"/>
    <w:rsid w:val="00695665"/>
    <w:rsid w:val="00696BF7"/>
    <w:rsid w:val="006E19F5"/>
    <w:rsid w:val="007E6F25"/>
    <w:rsid w:val="00886C90"/>
    <w:rsid w:val="008977A0"/>
    <w:rsid w:val="009163DF"/>
    <w:rsid w:val="009A1A9B"/>
    <w:rsid w:val="00A60A95"/>
    <w:rsid w:val="00A65532"/>
    <w:rsid w:val="00A853D7"/>
    <w:rsid w:val="00B32E2B"/>
    <w:rsid w:val="00B331E4"/>
    <w:rsid w:val="00C3705D"/>
    <w:rsid w:val="00C64CAB"/>
    <w:rsid w:val="00C76252"/>
    <w:rsid w:val="00CF1C6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enu v:ext="edit" strokecolor="none"/>
    </o:shapedefaults>
    <o:shapelayout v:ext="edit">
      <o:idmap v:ext="edit" data="1"/>
    </o:shapelayout>
  </w:shapeDefaults>
  <w:decimalSymbol w:val=","/>
  <w:listSeparator w:val=";"/>
  <w15:docId w15:val="{34A2B103-57B9-467D-9FD4-5391E951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43C3C56D-BD6D-4667-9D23-FA46CD8A4DA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1329</Words>
  <Characters>7311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Caroline Cachau</cp:lastModifiedBy>
  <cp:revision>23</cp:revision>
  <dcterms:created xsi:type="dcterms:W3CDTF">2012-05-03T16:31:00Z</dcterms:created>
  <dcterms:modified xsi:type="dcterms:W3CDTF">2017-02-23T13:24:00Z</dcterms:modified>
</cp:coreProperties>
</file>