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B1A" w:rsidRPr="00971A06" w:rsidRDefault="000B2B1A" w:rsidP="000B2B1A"/>
    <w:tbl>
      <w:tblPr>
        <w:tblW w:w="0" w:type="auto"/>
        <w:tblInd w:w="500" w:type="dxa"/>
        <w:tblLook w:val="04A0" w:firstRow="1" w:lastRow="0" w:firstColumn="1" w:lastColumn="0" w:noHBand="0" w:noVBand="1"/>
      </w:tblPr>
      <w:tblGrid>
        <w:gridCol w:w="4821"/>
        <w:gridCol w:w="4673"/>
      </w:tblGrid>
      <w:tr w:rsidR="000B2B1A" w:rsidRPr="00971A06" w:rsidTr="002131DA">
        <w:tc>
          <w:tcPr>
            <w:tcW w:w="4821" w:type="dxa"/>
            <w:shd w:val="clear" w:color="auto" w:fill="auto"/>
          </w:tcPr>
          <w:p w:rsidR="000B2B1A" w:rsidRPr="002131DA" w:rsidRDefault="000B2B1A" w:rsidP="00E730A8">
            <w:pPr>
              <w:pStyle w:val="Sansinterligne"/>
              <w:rPr>
                <w:rFonts w:ascii="Century" w:hAnsi="Century"/>
                <w:b/>
                <w:sz w:val="18"/>
                <w:szCs w:val="18"/>
              </w:rPr>
            </w:pPr>
            <w:bookmarkStart w:id="0" w:name="SLOGO_BURDIS_1"/>
            <w:r w:rsidRPr="002131DA">
              <w:rPr>
                <w:rFonts w:ascii="Century" w:hAnsi="Century"/>
                <w:b/>
                <w:sz w:val="18"/>
                <w:szCs w:val="18"/>
              </w:rPr>
              <w:t>Frédérique MALMEZAT-PRAT</w:t>
            </w:r>
          </w:p>
          <w:p w:rsidR="000B2B1A" w:rsidRPr="002131DA" w:rsidRDefault="000B2B1A" w:rsidP="00E730A8">
            <w:pPr>
              <w:pStyle w:val="Sansinterligne"/>
              <w:rPr>
                <w:rFonts w:ascii="Century" w:hAnsi="Century"/>
                <w:b/>
                <w:sz w:val="18"/>
                <w:szCs w:val="18"/>
              </w:rPr>
            </w:pPr>
            <w:r w:rsidRPr="002131DA">
              <w:rPr>
                <w:rFonts w:ascii="Century" w:hAnsi="Century"/>
                <w:b/>
                <w:sz w:val="18"/>
                <w:szCs w:val="18"/>
              </w:rPr>
              <w:t>Mandataire Judiciaire</w:t>
            </w:r>
          </w:p>
          <w:p w:rsidR="000B2B1A" w:rsidRPr="002131DA" w:rsidRDefault="000B2B1A" w:rsidP="00E730A8">
            <w:pPr>
              <w:pStyle w:val="Sansinterligne"/>
              <w:rPr>
                <w:rFonts w:ascii="Century" w:hAnsi="Century"/>
                <w:b/>
                <w:sz w:val="18"/>
                <w:szCs w:val="18"/>
              </w:rPr>
            </w:pPr>
          </w:p>
          <w:p w:rsidR="000B2B1A" w:rsidRPr="002131DA" w:rsidRDefault="000B2B1A" w:rsidP="00E730A8">
            <w:pPr>
              <w:pStyle w:val="Sansinterligne"/>
              <w:rPr>
                <w:rFonts w:ascii="Century" w:hAnsi="Century"/>
                <w:b/>
                <w:sz w:val="18"/>
                <w:szCs w:val="18"/>
              </w:rPr>
            </w:pPr>
            <w:r w:rsidRPr="002131DA">
              <w:rPr>
                <w:rFonts w:ascii="Century" w:hAnsi="Century"/>
                <w:b/>
                <w:sz w:val="18"/>
                <w:szCs w:val="18"/>
              </w:rPr>
              <w:t>Laëtitia LUCAS-DABADIE</w:t>
            </w:r>
          </w:p>
          <w:p w:rsidR="000B2B1A" w:rsidRPr="002131DA" w:rsidRDefault="000B2B1A" w:rsidP="00E730A8">
            <w:pPr>
              <w:pStyle w:val="Sansinterligne"/>
              <w:rPr>
                <w:rFonts w:ascii="Century" w:hAnsi="Century"/>
                <w:b/>
                <w:sz w:val="18"/>
                <w:szCs w:val="18"/>
              </w:rPr>
            </w:pPr>
            <w:r w:rsidRPr="002131DA">
              <w:rPr>
                <w:rFonts w:ascii="Century" w:hAnsi="Century"/>
                <w:b/>
                <w:sz w:val="18"/>
                <w:szCs w:val="18"/>
              </w:rPr>
              <w:t>Mandataire Judiciaire</w:t>
            </w:r>
          </w:p>
          <w:p w:rsidR="000B2B1A" w:rsidRPr="002131DA" w:rsidRDefault="000B2B1A" w:rsidP="00E730A8">
            <w:pPr>
              <w:pStyle w:val="Sansinterligne"/>
              <w:rPr>
                <w:rFonts w:ascii="Century" w:hAnsi="Century"/>
                <w:b/>
                <w:sz w:val="18"/>
                <w:szCs w:val="18"/>
              </w:rPr>
            </w:pPr>
          </w:p>
          <w:p w:rsidR="000B2B1A" w:rsidRPr="002131DA" w:rsidRDefault="000B2B1A" w:rsidP="00E730A8">
            <w:pPr>
              <w:pStyle w:val="Sansinterligne"/>
              <w:rPr>
                <w:rFonts w:ascii="Century" w:hAnsi="Century"/>
                <w:b/>
                <w:sz w:val="18"/>
                <w:szCs w:val="18"/>
              </w:rPr>
            </w:pPr>
            <w:r w:rsidRPr="002131DA">
              <w:rPr>
                <w:rFonts w:ascii="Century" w:hAnsi="Century"/>
                <w:b/>
                <w:sz w:val="18"/>
                <w:szCs w:val="18"/>
              </w:rPr>
              <w:t>Rita RONZANI</w:t>
            </w:r>
          </w:p>
          <w:p w:rsidR="000B2B1A" w:rsidRPr="002131DA" w:rsidRDefault="000B2B1A" w:rsidP="00E730A8">
            <w:pPr>
              <w:pStyle w:val="Sansinterligne"/>
              <w:rPr>
                <w:rFonts w:ascii="Century" w:hAnsi="Century"/>
                <w:b/>
                <w:sz w:val="18"/>
                <w:szCs w:val="18"/>
              </w:rPr>
            </w:pPr>
            <w:r w:rsidRPr="002131DA">
              <w:rPr>
                <w:rFonts w:ascii="Century" w:hAnsi="Century"/>
                <w:b/>
                <w:sz w:val="18"/>
                <w:szCs w:val="18"/>
              </w:rPr>
              <w:t>Collaboratrice</w:t>
            </w:r>
          </w:p>
          <w:p w:rsidR="000B2B1A" w:rsidRPr="002131DA" w:rsidRDefault="000B2B1A" w:rsidP="00E730A8">
            <w:pPr>
              <w:pStyle w:val="Sansinterligne"/>
              <w:rPr>
                <w:rFonts w:ascii="Century" w:hAnsi="Century"/>
                <w:b/>
                <w:sz w:val="18"/>
                <w:szCs w:val="18"/>
              </w:rPr>
            </w:pPr>
          </w:p>
          <w:p w:rsidR="000B2B1A" w:rsidRPr="002131DA" w:rsidRDefault="000B2B1A" w:rsidP="00E730A8">
            <w:pPr>
              <w:pStyle w:val="Sansinterligne"/>
              <w:rPr>
                <w:rFonts w:ascii="Century" w:hAnsi="Century"/>
                <w:b/>
                <w:sz w:val="18"/>
                <w:szCs w:val="18"/>
              </w:rPr>
            </w:pPr>
            <w:r w:rsidRPr="002131DA">
              <w:rPr>
                <w:rFonts w:ascii="Century" w:hAnsi="Century"/>
                <w:b/>
                <w:sz w:val="18"/>
                <w:szCs w:val="18"/>
              </w:rPr>
              <w:t>Caroline CACHAU-LAGOUTTE</w:t>
            </w:r>
            <w:r w:rsidRPr="002131DA">
              <w:rPr>
                <w:rFonts w:ascii="Century" w:hAnsi="Century"/>
                <w:b/>
                <w:sz w:val="18"/>
                <w:szCs w:val="18"/>
              </w:rPr>
              <w:tab/>
            </w:r>
          </w:p>
          <w:p w:rsidR="000B2B1A" w:rsidRPr="002131DA" w:rsidRDefault="000B2B1A" w:rsidP="00E730A8">
            <w:pPr>
              <w:pStyle w:val="Sansinterligne"/>
              <w:rPr>
                <w:rFonts w:ascii="Century" w:hAnsi="Century"/>
                <w:b/>
                <w:sz w:val="18"/>
                <w:szCs w:val="18"/>
              </w:rPr>
            </w:pPr>
            <w:r w:rsidRPr="002131DA">
              <w:rPr>
                <w:rFonts w:ascii="Century" w:hAnsi="Century"/>
                <w:b/>
                <w:sz w:val="18"/>
                <w:szCs w:val="18"/>
              </w:rPr>
              <w:t>Collaboratrice</w:t>
            </w:r>
          </w:p>
          <w:p w:rsidR="000B2B1A" w:rsidRPr="002131DA" w:rsidRDefault="000B2B1A" w:rsidP="00E730A8">
            <w:pPr>
              <w:pStyle w:val="Sansinterligne"/>
              <w:rPr>
                <w:rFonts w:ascii="Century" w:hAnsi="Century"/>
                <w:b/>
                <w:sz w:val="18"/>
                <w:szCs w:val="18"/>
              </w:rPr>
            </w:pPr>
          </w:p>
        </w:tc>
        <w:tc>
          <w:tcPr>
            <w:tcW w:w="4673" w:type="dxa"/>
            <w:shd w:val="clear" w:color="auto" w:fill="auto"/>
          </w:tcPr>
          <w:p w:rsidR="000B2B1A" w:rsidRPr="002131DA" w:rsidRDefault="000B2B1A" w:rsidP="00E730A8">
            <w:pPr>
              <w:pStyle w:val="Sansinterligne"/>
              <w:rPr>
                <w:rFonts w:ascii="Century" w:hAnsi="Century"/>
                <w:b/>
                <w:sz w:val="18"/>
                <w:szCs w:val="18"/>
              </w:rPr>
            </w:pPr>
            <w:r w:rsidRPr="002131DA">
              <w:rPr>
                <w:rFonts w:ascii="Century" w:hAnsi="Century"/>
                <w:b/>
                <w:sz w:val="18"/>
                <w:szCs w:val="18"/>
              </w:rPr>
              <w:t>BORDEAUX, le 2 décembre 2019</w:t>
            </w:r>
          </w:p>
          <w:p w:rsidR="000B2B1A" w:rsidRPr="002131DA" w:rsidRDefault="000B2B1A" w:rsidP="00E730A8">
            <w:pPr>
              <w:pStyle w:val="Sansinterligne"/>
              <w:rPr>
                <w:rFonts w:ascii="Century" w:hAnsi="Century"/>
                <w:b/>
                <w:sz w:val="18"/>
                <w:szCs w:val="18"/>
              </w:rPr>
            </w:pPr>
          </w:p>
          <w:p w:rsidR="000B2B1A" w:rsidRPr="002131DA" w:rsidRDefault="000B2B1A" w:rsidP="00E730A8">
            <w:pPr>
              <w:pStyle w:val="Sansinterligne"/>
              <w:rPr>
                <w:rFonts w:ascii="Century" w:hAnsi="Century"/>
                <w:b/>
                <w:sz w:val="18"/>
                <w:szCs w:val="18"/>
              </w:rPr>
            </w:pPr>
          </w:p>
          <w:p w:rsidR="000B2B1A" w:rsidRPr="002131DA" w:rsidRDefault="000B2B1A" w:rsidP="00E730A8">
            <w:pPr>
              <w:pStyle w:val="Sansinterligne"/>
              <w:rPr>
                <w:rFonts w:ascii="Century" w:hAnsi="Century"/>
                <w:b/>
                <w:sz w:val="18"/>
                <w:szCs w:val="18"/>
              </w:rPr>
            </w:pPr>
            <w:r w:rsidRPr="002131DA">
              <w:rPr>
                <w:rFonts w:ascii="Century" w:hAnsi="Century"/>
                <w:b/>
                <w:sz w:val="18"/>
                <w:szCs w:val="18"/>
              </w:rPr>
              <w:t>S.A. POUEY INTERNATIONAL</w:t>
            </w:r>
          </w:p>
          <w:p w:rsidR="000B2B1A" w:rsidRPr="002131DA" w:rsidRDefault="000B2B1A" w:rsidP="00E730A8">
            <w:pPr>
              <w:pStyle w:val="Sansinterligne"/>
              <w:rPr>
                <w:rFonts w:ascii="Century" w:hAnsi="Century"/>
                <w:b/>
                <w:sz w:val="18"/>
                <w:szCs w:val="18"/>
              </w:rPr>
            </w:pPr>
            <w:r w:rsidRPr="002131DA">
              <w:rPr>
                <w:rFonts w:ascii="Century" w:hAnsi="Century"/>
                <w:b/>
                <w:sz w:val="18"/>
                <w:szCs w:val="18"/>
              </w:rPr>
              <w:t>57 rue de Soissons</w:t>
            </w:r>
          </w:p>
          <w:p w:rsidR="000B2B1A" w:rsidRPr="002131DA" w:rsidRDefault="000B2B1A" w:rsidP="00E730A8">
            <w:pPr>
              <w:pStyle w:val="Sansinterligne"/>
              <w:rPr>
                <w:rFonts w:ascii="Century" w:hAnsi="Century"/>
                <w:b/>
                <w:sz w:val="18"/>
                <w:szCs w:val="18"/>
              </w:rPr>
            </w:pPr>
            <w:r w:rsidRPr="002131DA">
              <w:rPr>
                <w:rFonts w:ascii="Century" w:hAnsi="Century"/>
                <w:b/>
                <w:sz w:val="18"/>
                <w:szCs w:val="18"/>
              </w:rPr>
              <w:t>CS 60529</w:t>
            </w:r>
          </w:p>
          <w:p w:rsidR="000B2B1A" w:rsidRPr="002131DA" w:rsidRDefault="000B2B1A" w:rsidP="00E730A8">
            <w:pPr>
              <w:pStyle w:val="Sansinterligne"/>
              <w:rPr>
                <w:rFonts w:ascii="Century" w:hAnsi="Century"/>
                <w:b/>
                <w:sz w:val="18"/>
                <w:szCs w:val="18"/>
              </w:rPr>
            </w:pPr>
          </w:p>
          <w:p w:rsidR="000B2B1A" w:rsidRPr="002131DA" w:rsidRDefault="000B2B1A" w:rsidP="00E730A8">
            <w:pPr>
              <w:pStyle w:val="Sansinterligne"/>
              <w:rPr>
                <w:rFonts w:ascii="Century" w:hAnsi="Century"/>
                <w:b/>
                <w:sz w:val="18"/>
                <w:szCs w:val="18"/>
              </w:rPr>
            </w:pPr>
            <w:r w:rsidRPr="002131DA">
              <w:rPr>
                <w:rFonts w:ascii="Century" w:hAnsi="Century"/>
                <w:b/>
                <w:sz w:val="18"/>
                <w:szCs w:val="18"/>
              </w:rPr>
              <w:t>33002 BORDEAUX CEDEX</w:t>
            </w:r>
          </w:p>
          <w:p w:rsidR="000B2B1A" w:rsidRPr="002131DA" w:rsidRDefault="000B2B1A" w:rsidP="00E730A8">
            <w:pPr>
              <w:pStyle w:val="Sansinterligne"/>
              <w:rPr>
                <w:rFonts w:ascii="Century" w:hAnsi="Century"/>
                <w:b/>
                <w:sz w:val="18"/>
                <w:szCs w:val="18"/>
              </w:rPr>
            </w:pPr>
          </w:p>
          <w:p w:rsidR="000B2B1A" w:rsidRPr="002131DA" w:rsidRDefault="000B2B1A" w:rsidP="00E730A8">
            <w:pPr>
              <w:pStyle w:val="Sansinterligne"/>
              <w:rPr>
                <w:rFonts w:ascii="Century" w:hAnsi="Century"/>
                <w:b/>
                <w:sz w:val="18"/>
                <w:szCs w:val="18"/>
              </w:rPr>
            </w:pPr>
          </w:p>
          <w:p w:rsidR="000B2B1A" w:rsidRPr="002131DA" w:rsidRDefault="000B2B1A" w:rsidP="00E730A8">
            <w:pPr>
              <w:pStyle w:val="Sansinterligne"/>
              <w:rPr>
                <w:rFonts w:ascii="Century" w:hAnsi="Century"/>
                <w:b/>
                <w:sz w:val="18"/>
                <w:szCs w:val="18"/>
              </w:rPr>
            </w:pPr>
          </w:p>
          <w:p w:rsidR="000B2B1A" w:rsidRPr="002131DA" w:rsidRDefault="000B2B1A" w:rsidP="00E730A8">
            <w:pPr>
              <w:pStyle w:val="Sansinterligne"/>
              <w:rPr>
                <w:rFonts w:ascii="Century" w:hAnsi="Century"/>
                <w:b/>
                <w:sz w:val="18"/>
                <w:szCs w:val="18"/>
              </w:rPr>
            </w:pPr>
          </w:p>
          <w:p w:rsidR="000B2B1A" w:rsidRPr="002131DA" w:rsidRDefault="000B2B1A" w:rsidP="00E730A8">
            <w:pPr>
              <w:pStyle w:val="Sansinterligne"/>
              <w:rPr>
                <w:rFonts w:ascii="Century" w:hAnsi="Century"/>
                <w:b/>
                <w:sz w:val="18"/>
                <w:szCs w:val="18"/>
              </w:rPr>
            </w:pPr>
          </w:p>
          <w:p w:rsidR="000B2B1A" w:rsidRPr="002131DA" w:rsidRDefault="000B2B1A" w:rsidP="00E730A8">
            <w:pPr>
              <w:pStyle w:val="Sansinterligne"/>
              <w:rPr>
                <w:rFonts w:ascii="Century" w:hAnsi="Century"/>
                <w:b/>
                <w:sz w:val="18"/>
                <w:szCs w:val="18"/>
              </w:rPr>
            </w:pPr>
          </w:p>
        </w:tc>
      </w:tr>
      <w:bookmarkEnd w:id="0"/>
    </w:tbl>
    <w:p w:rsidR="000B2B1A" w:rsidRPr="00971A06" w:rsidRDefault="000B2B1A" w:rsidP="000B2B1A">
      <w:pPr>
        <w:ind w:left="-284" w:right="48"/>
        <w:jc w:val="both"/>
        <w:rPr>
          <w:rFonts w:ascii="Century" w:hAnsi="Century"/>
          <w:sz w:val="16"/>
          <w:szCs w:val="16"/>
        </w:rPr>
      </w:pPr>
    </w:p>
    <w:tbl>
      <w:tblPr>
        <w:tblW w:w="0" w:type="auto"/>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9"/>
      </w:tblGrid>
      <w:tr w:rsidR="000B2B1A" w:rsidRPr="00971A06" w:rsidTr="002131DA">
        <w:tc>
          <w:tcPr>
            <w:tcW w:w="0" w:type="auto"/>
            <w:shd w:val="clear" w:color="auto" w:fill="auto"/>
          </w:tcPr>
          <w:p w:rsidR="000B2B1A" w:rsidRPr="002131DA" w:rsidRDefault="000B2B1A" w:rsidP="002131DA">
            <w:pPr>
              <w:ind w:left="-113" w:right="48"/>
              <w:jc w:val="both"/>
              <w:rPr>
                <w:rFonts w:ascii="Century" w:hAnsi="Century"/>
                <w:b/>
              </w:rPr>
            </w:pPr>
            <w:r w:rsidRPr="002131DA">
              <w:rPr>
                <w:rFonts w:ascii="Century" w:hAnsi="Century"/>
                <w:b/>
                <w:sz w:val="22"/>
                <w:szCs w:val="22"/>
              </w:rPr>
              <w:t>Redressement Judiciaire</w:t>
            </w:r>
          </w:p>
          <w:p w:rsidR="000B2B1A" w:rsidRPr="002131DA" w:rsidRDefault="000B2B1A" w:rsidP="002131DA">
            <w:pPr>
              <w:pStyle w:val="Sansinterligne"/>
              <w:ind w:left="-113"/>
              <w:rPr>
                <w:rFonts w:ascii="Century" w:hAnsi="Century"/>
                <w:sz w:val="18"/>
                <w:szCs w:val="18"/>
              </w:rPr>
            </w:pPr>
            <w:r w:rsidRPr="002131DA">
              <w:rPr>
                <w:rFonts w:ascii="Century" w:hAnsi="Century"/>
                <w:sz w:val="18"/>
                <w:szCs w:val="18"/>
              </w:rPr>
              <w:t xml:space="preserve">N/Réf. : </w:t>
            </w:r>
            <w:bookmarkStart w:id="1" w:name="SAFFAIRE_PRONOM_0"/>
            <w:r w:rsidRPr="002131DA">
              <w:rPr>
                <w:rFonts w:ascii="Century" w:hAnsi="Century"/>
                <w:sz w:val="18"/>
                <w:szCs w:val="18"/>
              </w:rPr>
              <w:t>FMP/RR</w:t>
            </w:r>
            <w:bookmarkEnd w:id="1"/>
            <w:r w:rsidRPr="002131DA">
              <w:rPr>
                <w:rFonts w:ascii="Century" w:hAnsi="Century"/>
                <w:sz w:val="18"/>
                <w:szCs w:val="18"/>
              </w:rPr>
              <w:t>/</w:t>
            </w:r>
            <w:bookmarkStart w:id="2" w:name="SUTILISA_NUMERO_0"/>
            <w:r w:rsidRPr="002131DA">
              <w:rPr>
                <w:rFonts w:ascii="Century" w:hAnsi="Century"/>
                <w:sz w:val="18"/>
                <w:szCs w:val="18"/>
              </w:rPr>
              <w:t>THM</w:t>
            </w:r>
            <w:bookmarkEnd w:id="2"/>
            <w:r w:rsidRPr="002131DA">
              <w:rPr>
                <w:rFonts w:ascii="Century" w:hAnsi="Century"/>
                <w:sz w:val="18"/>
                <w:szCs w:val="18"/>
              </w:rPr>
              <w:t>/</w:t>
            </w:r>
            <w:bookmarkStart w:id="3" w:name="SAFFAIRE_NUMERO_0"/>
            <w:r w:rsidRPr="002131DA">
              <w:rPr>
                <w:rFonts w:ascii="Century" w:hAnsi="Century"/>
                <w:sz w:val="18"/>
                <w:szCs w:val="18"/>
              </w:rPr>
              <w:t>7141</w:t>
            </w:r>
            <w:bookmarkEnd w:id="3"/>
            <w:r w:rsidRPr="002131DA">
              <w:rPr>
                <w:rFonts w:ascii="Century" w:hAnsi="Century"/>
                <w:sz w:val="18"/>
                <w:szCs w:val="18"/>
              </w:rPr>
              <w:t xml:space="preserve">/PASSIF </w:t>
            </w:r>
          </w:p>
          <w:p w:rsidR="000B2B1A" w:rsidRPr="002131DA" w:rsidRDefault="000B2B1A" w:rsidP="002131DA">
            <w:pPr>
              <w:pStyle w:val="Sansinterligne"/>
              <w:ind w:left="-113"/>
              <w:rPr>
                <w:rFonts w:ascii="Century" w:hAnsi="Century"/>
                <w:b/>
                <w:sz w:val="18"/>
                <w:szCs w:val="18"/>
              </w:rPr>
            </w:pPr>
            <w:r w:rsidRPr="002131DA">
              <w:rPr>
                <w:rFonts w:ascii="Century" w:hAnsi="Century"/>
                <w:b/>
                <w:sz w:val="18"/>
                <w:szCs w:val="18"/>
              </w:rPr>
              <w:t>SARL UNION VINICOLE DE GIRONDE</w:t>
            </w:r>
          </w:p>
          <w:p w:rsidR="000B2B1A" w:rsidRPr="002131DA" w:rsidRDefault="000B2B1A" w:rsidP="002131DA">
            <w:pPr>
              <w:pStyle w:val="Sansinterligne"/>
              <w:tabs>
                <w:tab w:val="left" w:pos="2265"/>
              </w:tabs>
              <w:ind w:left="-113"/>
              <w:rPr>
                <w:rFonts w:ascii="Century" w:hAnsi="Century"/>
              </w:rPr>
            </w:pPr>
            <w:r w:rsidRPr="002131DA">
              <w:rPr>
                <w:rFonts w:ascii="Century" w:hAnsi="Century"/>
                <w:sz w:val="18"/>
                <w:szCs w:val="18"/>
              </w:rPr>
              <w:t xml:space="preserve">V/Réf. : 0103/086733-006-V00026 </w:t>
            </w:r>
          </w:p>
        </w:tc>
      </w:tr>
    </w:tbl>
    <w:p w:rsidR="000B2B1A" w:rsidRDefault="000B2B1A" w:rsidP="000B2B1A">
      <w:pPr>
        <w:ind w:left="-284" w:right="48"/>
        <w:jc w:val="both"/>
        <w:rPr>
          <w:rFonts w:ascii="Century" w:hAnsi="Century"/>
          <w:sz w:val="22"/>
          <w:szCs w:val="22"/>
        </w:rPr>
      </w:pPr>
    </w:p>
    <w:p w:rsidR="00227CD8" w:rsidRDefault="00227CD8" w:rsidP="00227CD8">
      <w:pPr>
        <w:ind w:left="851"/>
        <w:jc w:val="both"/>
        <w:rPr>
          <w:sz w:val="22"/>
          <w:szCs w:val="22"/>
        </w:rPr>
      </w:pPr>
    </w:p>
    <w:p w:rsidR="00227CD8" w:rsidRPr="00403515" w:rsidRDefault="008B0871" w:rsidP="00227CD8">
      <w:pPr>
        <w:ind w:left="851"/>
        <w:jc w:val="both"/>
        <w:rPr>
          <w:sz w:val="22"/>
          <w:szCs w:val="22"/>
        </w:rPr>
      </w:pPr>
      <w:r>
        <w:rPr>
          <w:sz w:val="22"/>
          <w:szCs w:val="22"/>
        </w:rPr>
        <w:t>Monsieur</w:t>
      </w:r>
      <w:r w:rsidR="00227CD8" w:rsidRPr="00403515">
        <w:rPr>
          <w:sz w:val="22"/>
          <w:szCs w:val="22"/>
        </w:rPr>
        <w:t>,</w:t>
      </w:r>
    </w:p>
    <w:p w:rsidR="00227CD8" w:rsidRPr="00403515" w:rsidRDefault="00227CD8" w:rsidP="00227CD8">
      <w:pPr>
        <w:ind w:left="851"/>
        <w:jc w:val="both"/>
        <w:rPr>
          <w:sz w:val="22"/>
          <w:szCs w:val="22"/>
        </w:rPr>
      </w:pPr>
    </w:p>
    <w:p w:rsidR="00227CD8" w:rsidRPr="00403515" w:rsidRDefault="00227CD8" w:rsidP="00227CD8">
      <w:pPr>
        <w:ind w:left="851"/>
        <w:jc w:val="both"/>
        <w:rPr>
          <w:sz w:val="22"/>
          <w:szCs w:val="22"/>
        </w:rPr>
      </w:pPr>
      <w:r w:rsidRPr="00403515">
        <w:rPr>
          <w:sz w:val="22"/>
          <w:szCs w:val="22"/>
        </w:rPr>
        <w:t xml:space="preserve">J'accuse réception de votre </w:t>
      </w:r>
      <w:r w:rsidR="008B0871">
        <w:rPr>
          <w:sz w:val="22"/>
          <w:szCs w:val="22"/>
        </w:rPr>
        <w:t>déclaration de créance du 27/11/2019</w:t>
      </w:r>
      <w:r w:rsidRPr="00403515">
        <w:rPr>
          <w:sz w:val="22"/>
          <w:szCs w:val="22"/>
        </w:rPr>
        <w:t>.</w:t>
      </w:r>
    </w:p>
    <w:p w:rsidR="00227CD8" w:rsidRPr="00403515" w:rsidRDefault="00227CD8" w:rsidP="00227CD8">
      <w:pPr>
        <w:ind w:left="851"/>
        <w:jc w:val="both"/>
        <w:rPr>
          <w:sz w:val="22"/>
          <w:szCs w:val="22"/>
        </w:rPr>
      </w:pPr>
    </w:p>
    <w:p w:rsidR="00227CD8" w:rsidRPr="00403515" w:rsidRDefault="00227CD8" w:rsidP="00227CD8">
      <w:pPr>
        <w:ind w:left="851"/>
        <w:jc w:val="both"/>
        <w:rPr>
          <w:sz w:val="22"/>
          <w:szCs w:val="22"/>
        </w:rPr>
      </w:pPr>
      <w:r w:rsidRPr="00403515">
        <w:rPr>
          <w:sz w:val="22"/>
          <w:szCs w:val="22"/>
        </w:rPr>
        <w:t>Je vous signale que conformément aux dispositions de l'article R.622-21 du Code de Commerce, les créanciers connus dans l'affaire en référence, ont été régulièrement invités d'avoir à déclarer leurs créances.</w:t>
      </w:r>
    </w:p>
    <w:p w:rsidR="00227CD8" w:rsidRPr="00403515" w:rsidRDefault="00227CD8" w:rsidP="00227CD8">
      <w:pPr>
        <w:ind w:left="851"/>
        <w:jc w:val="both"/>
        <w:rPr>
          <w:sz w:val="22"/>
          <w:szCs w:val="22"/>
        </w:rPr>
      </w:pPr>
    </w:p>
    <w:p w:rsidR="00227CD8" w:rsidRPr="00403515" w:rsidRDefault="00227CD8" w:rsidP="00227CD8">
      <w:pPr>
        <w:ind w:left="851"/>
        <w:jc w:val="both"/>
        <w:rPr>
          <w:sz w:val="22"/>
          <w:szCs w:val="22"/>
        </w:rPr>
      </w:pPr>
      <w:r w:rsidRPr="00403515">
        <w:rPr>
          <w:sz w:val="22"/>
          <w:szCs w:val="22"/>
        </w:rPr>
        <w:t xml:space="preserve">La publication de cette procédure a paru au BODACC, le </w:t>
      </w:r>
      <w:bookmarkStart w:id="4" w:name="SAFFAIRE_BODACC1_0"/>
      <w:r w:rsidRPr="00403515">
        <w:rPr>
          <w:sz w:val="22"/>
          <w:szCs w:val="22"/>
        </w:rPr>
        <w:t>15/09/2019</w:t>
      </w:r>
      <w:bookmarkEnd w:id="4"/>
      <w:r w:rsidRPr="00403515">
        <w:rPr>
          <w:sz w:val="22"/>
          <w:szCs w:val="22"/>
        </w:rPr>
        <w:t>.</w:t>
      </w:r>
    </w:p>
    <w:p w:rsidR="00227CD8" w:rsidRPr="00403515" w:rsidRDefault="00227CD8" w:rsidP="00227CD8">
      <w:pPr>
        <w:ind w:left="851"/>
        <w:jc w:val="both"/>
        <w:rPr>
          <w:sz w:val="22"/>
          <w:szCs w:val="22"/>
        </w:rPr>
      </w:pPr>
    </w:p>
    <w:p w:rsidR="00227CD8" w:rsidRPr="00403515" w:rsidRDefault="00227CD8" w:rsidP="00227CD8">
      <w:pPr>
        <w:ind w:left="851"/>
        <w:jc w:val="both"/>
        <w:rPr>
          <w:sz w:val="22"/>
          <w:szCs w:val="22"/>
        </w:rPr>
      </w:pPr>
      <w:r w:rsidRPr="00403515">
        <w:rPr>
          <w:sz w:val="22"/>
          <w:szCs w:val="22"/>
        </w:rPr>
        <w:t>Votre déclaration de créance qui aurait dû me parvenir dans les deux mois de cette publicité, est tardive et je ne peux la prendre en considération.</w:t>
      </w:r>
    </w:p>
    <w:p w:rsidR="00227CD8" w:rsidRPr="00403515" w:rsidRDefault="00227CD8" w:rsidP="00227CD8">
      <w:pPr>
        <w:ind w:left="851"/>
        <w:jc w:val="both"/>
        <w:rPr>
          <w:sz w:val="22"/>
          <w:szCs w:val="22"/>
        </w:rPr>
      </w:pPr>
    </w:p>
    <w:p w:rsidR="00227CD8" w:rsidRPr="00403515" w:rsidRDefault="00227CD8" w:rsidP="00227CD8">
      <w:pPr>
        <w:ind w:left="851"/>
        <w:jc w:val="both"/>
        <w:rPr>
          <w:sz w:val="22"/>
          <w:szCs w:val="22"/>
        </w:rPr>
      </w:pPr>
      <w:r w:rsidRPr="00403515">
        <w:rPr>
          <w:sz w:val="22"/>
          <w:szCs w:val="22"/>
        </w:rPr>
        <w:t xml:space="preserve">En conséquence, conformément aux dispositions de l'article </w:t>
      </w:r>
      <w:r w:rsidRPr="00403515">
        <w:rPr>
          <w:b/>
          <w:sz w:val="22"/>
          <w:szCs w:val="22"/>
        </w:rPr>
        <w:t>L.622-26</w:t>
      </w:r>
      <w:r w:rsidRPr="00403515">
        <w:rPr>
          <w:sz w:val="22"/>
          <w:szCs w:val="22"/>
        </w:rPr>
        <w:t xml:space="preserve"> du code de commerce ci-dessous reproduit, je vous invite à engager une action en relevé de forclusion par voie recommandée, auprès du Juge-commissaire, à l’adresse suivante :</w:t>
      </w:r>
    </w:p>
    <w:p w:rsidR="00227CD8" w:rsidRPr="00403515" w:rsidRDefault="00227CD8" w:rsidP="00227CD8">
      <w:pPr>
        <w:ind w:left="851"/>
        <w:jc w:val="both"/>
        <w:rPr>
          <w:sz w:val="22"/>
          <w:szCs w:val="22"/>
        </w:rPr>
      </w:pPr>
    </w:p>
    <w:p w:rsidR="00227CD8" w:rsidRPr="00403515" w:rsidRDefault="00227CD8" w:rsidP="00227CD8">
      <w:pPr>
        <w:ind w:left="851"/>
        <w:jc w:val="both"/>
        <w:rPr>
          <w:sz w:val="22"/>
          <w:szCs w:val="22"/>
        </w:rPr>
      </w:pPr>
      <w:bookmarkStart w:id="5" w:name="SAFFAIRE_JCABREVIALIB_0"/>
      <w:r w:rsidRPr="00403515">
        <w:rPr>
          <w:sz w:val="22"/>
          <w:szCs w:val="22"/>
        </w:rPr>
        <w:t>Madame</w:t>
      </w:r>
      <w:bookmarkEnd w:id="5"/>
      <w:r w:rsidRPr="00403515">
        <w:rPr>
          <w:sz w:val="22"/>
          <w:szCs w:val="22"/>
        </w:rPr>
        <w:t xml:space="preserve"> le Juge-commissaire </w:t>
      </w:r>
      <w:bookmarkStart w:id="6" w:name="SAFFAIRE_JCNOM_1"/>
      <w:r w:rsidRPr="00403515">
        <w:rPr>
          <w:sz w:val="22"/>
          <w:szCs w:val="22"/>
        </w:rPr>
        <w:t>Jacqueline LAUNAY</w:t>
      </w:r>
      <w:bookmarkEnd w:id="6"/>
      <w:r w:rsidRPr="00403515">
        <w:rPr>
          <w:sz w:val="22"/>
          <w:szCs w:val="22"/>
        </w:rPr>
        <w:t xml:space="preserve"> </w:t>
      </w:r>
    </w:p>
    <w:p w:rsidR="00227CD8" w:rsidRPr="00403515" w:rsidRDefault="00227CD8" w:rsidP="00227CD8">
      <w:pPr>
        <w:ind w:left="851"/>
        <w:jc w:val="both"/>
        <w:rPr>
          <w:sz w:val="22"/>
          <w:szCs w:val="22"/>
        </w:rPr>
      </w:pPr>
      <w:r w:rsidRPr="00403515">
        <w:rPr>
          <w:sz w:val="22"/>
          <w:szCs w:val="22"/>
        </w:rPr>
        <w:t xml:space="preserve">Tribunal de </w:t>
      </w:r>
      <w:bookmarkStart w:id="7" w:name="SAFFAIRE_TGINOM_1"/>
      <w:r w:rsidRPr="00403515">
        <w:rPr>
          <w:sz w:val="22"/>
          <w:szCs w:val="22"/>
        </w:rPr>
        <w:t>Commerce de Bordeaux</w:t>
      </w:r>
      <w:bookmarkEnd w:id="7"/>
      <w:r w:rsidRPr="00403515">
        <w:rPr>
          <w:sz w:val="22"/>
          <w:szCs w:val="22"/>
        </w:rPr>
        <w:t xml:space="preserve"> - </w:t>
      </w:r>
      <w:bookmarkStart w:id="8" w:name="SAFFAIRE_TGIRUE1_1"/>
      <w:r w:rsidRPr="00403515">
        <w:rPr>
          <w:sz w:val="22"/>
          <w:szCs w:val="22"/>
        </w:rPr>
        <w:t>Place de la Bourse</w:t>
      </w:r>
      <w:bookmarkEnd w:id="8"/>
      <w:r w:rsidRPr="00403515">
        <w:rPr>
          <w:sz w:val="22"/>
          <w:szCs w:val="22"/>
        </w:rPr>
        <w:t xml:space="preserve"> </w:t>
      </w:r>
      <w:bookmarkStart w:id="9" w:name="SAFFAIRE_TGIRUE2_1"/>
      <w:bookmarkEnd w:id="9"/>
      <w:r w:rsidRPr="00403515">
        <w:rPr>
          <w:sz w:val="22"/>
          <w:szCs w:val="22"/>
        </w:rPr>
        <w:t xml:space="preserve">  - </w:t>
      </w:r>
      <w:bookmarkStart w:id="10" w:name="SAFFAIRE_TGICODPOST_0"/>
      <w:r w:rsidRPr="00403515">
        <w:rPr>
          <w:sz w:val="22"/>
          <w:szCs w:val="22"/>
        </w:rPr>
        <w:t>33000</w:t>
      </w:r>
      <w:bookmarkEnd w:id="10"/>
      <w:r w:rsidRPr="00403515">
        <w:rPr>
          <w:sz w:val="22"/>
          <w:szCs w:val="22"/>
        </w:rPr>
        <w:t xml:space="preserve"> </w:t>
      </w:r>
      <w:bookmarkStart w:id="11" w:name="SAFFAIRE_TGIBURDIS_0"/>
      <w:r w:rsidRPr="00403515">
        <w:rPr>
          <w:sz w:val="22"/>
          <w:szCs w:val="22"/>
        </w:rPr>
        <w:t>BORDEAUX</w:t>
      </w:r>
      <w:bookmarkEnd w:id="11"/>
      <w:r w:rsidRPr="00403515">
        <w:rPr>
          <w:sz w:val="22"/>
          <w:szCs w:val="22"/>
        </w:rPr>
        <w:t xml:space="preserve"> </w:t>
      </w:r>
    </w:p>
    <w:p w:rsidR="00227CD8" w:rsidRPr="00403515" w:rsidRDefault="00227CD8" w:rsidP="00227CD8">
      <w:pPr>
        <w:ind w:left="851"/>
        <w:jc w:val="both"/>
        <w:rPr>
          <w:sz w:val="22"/>
          <w:szCs w:val="22"/>
        </w:rPr>
      </w:pPr>
    </w:p>
    <w:p w:rsidR="00227CD8" w:rsidRPr="00403515" w:rsidRDefault="00227CD8" w:rsidP="00227CD8">
      <w:pPr>
        <w:ind w:left="851"/>
        <w:jc w:val="both"/>
        <w:rPr>
          <w:sz w:val="22"/>
          <w:szCs w:val="22"/>
        </w:rPr>
      </w:pPr>
    </w:p>
    <w:p w:rsidR="00227CD8" w:rsidRPr="00403515" w:rsidRDefault="00227CD8" w:rsidP="00227CD8">
      <w:pPr>
        <w:ind w:left="851"/>
        <w:jc w:val="both"/>
        <w:rPr>
          <w:sz w:val="22"/>
          <w:szCs w:val="22"/>
        </w:rPr>
      </w:pPr>
      <w:r w:rsidRPr="00403515">
        <w:rPr>
          <w:sz w:val="22"/>
          <w:szCs w:val="22"/>
        </w:rPr>
        <w:t xml:space="preserve">Veuillez agréer, </w:t>
      </w:r>
      <w:r w:rsidR="008B0871">
        <w:rPr>
          <w:sz w:val="22"/>
          <w:szCs w:val="22"/>
        </w:rPr>
        <w:t>Monsieur</w:t>
      </w:r>
      <w:r w:rsidRPr="00403515">
        <w:rPr>
          <w:sz w:val="22"/>
          <w:szCs w:val="22"/>
        </w:rPr>
        <w:t>, mes salutations distinguées.</w:t>
      </w:r>
    </w:p>
    <w:p w:rsidR="00227CD8" w:rsidRDefault="00227CD8" w:rsidP="00227CD8">
      <w:pPr>
        <w:ind w:left="851"/>
        <w:rPr>
          <w:sz w:val="22"/>
          <w:szCs w:val="22"/>
        </w:rPr>
      </w:pPr>
    </w:p>
    <w:p w:rsidR="009D258D" w:rsidRDefault="009D258D" w:rsidP="009D258D">
      <w:pPr>
        <w:ind w:left="5103"/>
        <w:rPr>
          <w:sz w:val="22"/>
          <w:szCs w:val="22"/>
        </w:rPr>
      </w:pPr>
      <w:r w:rsidRPr="009D258D">
        <w:rPr>
          <w:sz w:val="22"/>
          <w:szCs w:val="22"/>
        </w:rPr>
        <w:t>Maître Frédérique  MALMEZAT-PRAT</w:t>
      </w:r>
    </w:p>
    <w:p w:rsidR="00EA0121" w:rsidRDefault="00EA0121" w:rsidP="009D258D">
      <w:pPr>
        <w:ind w:left="5103"/>
        <w:rPr>
          <w:sz w:val="22"/>
          <w:szCs w:val="22"/>
        </w:rPr>
      </w:pPr>
      <w:r w:rsidRPr="00EA0121">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i1025" type="#_x0000_t75" style="width:111.6pt;height:43.2pt;visibility:visible;mso-wrap-style:square">
            <v:imagedata r:id="rId7" o:title=""/>
          </v:shape>
        </w:pict>
      </w:r>
      <w:bookmarkStart w:id="12" w:name="_GoBack"/>
      <w:bookmarkEnd w:id="12"/>
    </w:p>
    <w:p w:rsidR="009D258D" w:rsidRPr="00403515" w:rsidRDefault="009D258D" w:rsidP="00227CD8">
      <w:pPr>
        <w:ind w:left="851"/>
        <w:rPr>
          <w:sz w:val="22"/>
          <w:szCs w:val="22"/>
        </w:rPr>
      </w:pPr>
    </w:p>
    <w:p w:rsidR="00227CD8" w:rsidRPr="009367CE" w:rsidRDefault="00227CD8" w:rsidP="00227CD8">
      <w:pPr>
        <w:ind w:left="851"/>
        <w:jc w:val="both"/>
        <w:rPr>
          <w:b/>
          <w:i/>
          <w:iCs/>
          <w:sz w:val="16"/>
        </w:rPr>
      </w:pPr>
      <w:r w:rsidRPr="009367CE">
        <w:rPr>
          <w:b/>
          <w:i/>
          <w:iCs/>
          <w:sz w:val="20"/>
          <w:szCs w:val="20"/>
          <w:u w:val="single"/>
        </w:rPr>
        <w:t>Article L622-26</w:t>
      </w:r>
      <w:r w:rsidRPr="009367CE">
        <w:rPr>
          <w:i/>
          <w:iCs/>
          <w:sz w:val="16"/>
        </w:rPr>
        <w:t> </w:t>
      </w:r>
      <w:r w:rsidRPr="009367CE">
        <w:rPr>
          <w:b/>
          <w:i/>
          <w:iCs/>
          <w:sz w:val="16"/>
        </w:rPr>
        <w:t xml:space="preserve">: </w:t>
      </w:r>
      <w:r>
        <w:rPr>
          <w:b/>
          <w:i/>
          <w:iCs/>
          <w:sz w:val="16"/>
        </w:rPr>
        <w:t>« </w:t>
      </w:r>
      <w:r w:rsidRPr="009367CE">
        <w:rPr>
          <w:b/>
          <w:i/>
          <w:iCs/>
          <w:sz w:val="16"/>
        </w:rPr>
        <w:t xml:space="preserve">À défaut de déclaration dans les délais prévus à l’article L.622-24, les créanciers ne sont pas admis dans les répartitions et les dividendes à </w:t>
      </w:r>
      <w:r w:rsidRPr="00C3766E">
        <w:rPr>
          <w:b/>
          <w:i/>
          <w:iCs/>
          <w:sz w:val="16"/>
        </w:rPr>
        <w:t>moins que le juge-commissaire ne les relève de leur forclusion s'ils établissent que leur défaillance n'est pas due à leur fait ou qu'elle est due à une omission du débiteur</w:t>
      </w:r>
      <w:r w:rsidRPr="009367CE">
        <w:rPr>
          <w:b/>
          <w:i/>
          <w:iCs/>
          <w:sz w:val="16"/>
        </w:rPr>
        <w:t xml:space="preserve"> lors de l'établissement de la liste prévue au deuxième alinéa de l'article L. 622-6. Ils ne peuvent alors concourir que pour les distributions postérieures à leur demande.</w:t>
      </w:r>
    </w:p>
    <w:p w:rsidR="00227CD8" w:rsidRDefault="00227CD8" w:rsidP="00227CD8">
      <w:pPr>
        <w:ind w:left="851"/>
        <w:jc w:val="both"/>
        <w:rPr>
          <w:i/>
          <w:iCs/>
          <w:sz w:val="16"/>
        </w:rPr>
      </w:pPr>
    </w:p>
    <w:p w:rsidR="00227CD8" w:rsidRDefault="00227CD8" w:rsidP="00227CD8">
      <w:pPr>
        <w:ind w:left="851"/>
        <w:jc w:val="both"/>
        <w:rPr>
          <w:i/>
          <w:iCs/>
          <w:sz w:val="16"/>
        </w:rPr>
      </w:pPr>
      <w:r>
        <w:rPr>
          <w:i/>
          <w:iCs/>
          <w:sz w:val="16"/>
        </w:rPr>
        <w:lastRenderedPageBreak/>
        <w:t>Les créances non déclarées régulièrement dans ces délais sont inopposables au débiteur pendant l’exécution du plan et après cette exécution lorsque les engagements énoncés dans le plan ou décidés par le tribunal ont été tenus. Pendant l’exécution du plan, elles sont également inopposables aux personnes physiques coobligées ou ayant consenti une sûreté personnelle ou ayant affecté ou cédé un bien garantie</w:t>
      </w:r>
    </w:p>
    <w:p w:rsidR="00227CD8" w:rsidRDefault="00227CD8" w:rsidP="00227CD8">
      <w:pPr>
        <w:ind w:left="851"/>
        <w:jc w:val="both"/>
        <w:rPr>
          <w:i/>
          <w:iCs/>
          <w:sz w:val="16"/>
        </w:rPr>
      </w:pPr>
    </w:p>
    <w:p w:rsidR="00227CD8" w:rsidRPr="00C3766E" w:rsidRDefault="00227CD8" w:rsidP="00227CD8">
      <w:pPr>
        <w:ind w:left="851"/>
        <w:jc w:val="both"/>
        <w:rPr>
          <w:b/>
          <w:i/>
          <w:iCs/>
          <w:sz w:val="16"/>
        </w:rPr>
      </w:pPr>
      <w:r w:rsidRPr="009367CE">
        <w:rPr>
          <w:b/>
          <w:i/>
          <w:iCs/>
          <w:sz w:val="16"/>
          <w:u w:val="single"/>
        </w:rPr>
        <w:t>L'action en relevé de forclusion ne peut être exercée que dans le délai de six mois</w:t>
      </w:r>
      <w:r w:rsidRPr="009367CE">
        <w:rPr>
          <w:b/>
          <w:i/>
          <w:iCs/>
          <w:sz w:val="16"/>
        </w:rPr>
        <w:t xml:space="preserve">. Ce délai court à compter de la publication du jugement d'ouverture ou, pour les institutions mentionnées à l'article L. 143-11-4 du Code du travail, de l'expiration du délai pendant lequel les créances résultant du contrat de travail sont garanties par ces institutions. Pour les créanciers titulaires d'une sûreté publiée ou liés au débiteur par un contrat publié, il court à compter de la réception de l'avis qui leur est donné. </w:t>
      </w:r>
      <w:r w:rsidRPr="00C3766E">
        <w:rPr>
          <w:b/>
          <w:i/>
          <w:iCs/>
          <w:sz w:val="16"/>
          <w:u w:val="single"/>
        </w:rPr>
        <w:t>Par exception, si le créancier justifie avoir été placé dans l’impossibilité de connaître l’obligation du débiteur avant l’expiration du délai de 6 mois, le délai court à compter de la date à laquelle il est établi qu’il ne pouvait ignorer l’existence de sa créance. »</w:t>
      </w:r>
    </w:p>
    <w:p w:rsidR="00227CD8" w:rsidRPr="00C3766E" w:rsidRDefault="00227CD8" w:rsidP="00227CD8">
      <w:pPr>
        <w:ind w:left="851"/>
        <w:jc w:val="both"/>
        <w:rPr>
          <w:sz w:val="16"/>
        </w:rPr>
      </w:pPr>
    </w:p>
    <w:p w:rsidR="00227CD8" w:rsidRPr="002003A2" w:rsidRDefault="00227CD8" w:rsidP="00227CD8">
      <w:pPr>
        <w:ind w:left="851"/>
        <w:jc w:val="both"/>
        <w:rPr>
          <w:i/>
          <w:sz w:val="16"/>
        </w:rPr>
      </w:pPr>
      <w:r w:rsidRPr="00C3766E">
        <w:rPr>
          <w:i/>
          <w:sz w:val="16"/>
        </w:rPr>
        <w:t>En application de l’article L622-24 alinéa 1 retranscrit ci-après, le créancier  est tenu de déclarer sa créance dans le mois de la notification de la décision l’ayant relevé de sa forclusion  (le délai est de deux mois pour les créanciers situés à l’étranger).</w:t>
      </w:r>
    </w:p>
    <w:p w:rsidR="00227CD8" w:rsidRDefault="00227CD8" w:rsidP="00227CD8"/>
    <w:p w:rsidR="00227CD8" w:rsidRDefault="00227CD8" w:rsidP="00227CD8"/>
    <w:p w:rsidR="00227CD8" w:rsidRPr="00214CD1" w:rsidRDefault="00227CD8" w:rsidP="00227CD8">
      <w:pPr>
        <w:rPr>
          <w:b/>
          <w:sz w:val="18"/>
          <w:szCs w:val="18"/>
          <w:u w:val="single"/>
        </w:rPr>
      </w:pPr>
      <w:r w:rsidRPr="00214CD1">
        <w:rPr>
          <w:b/>
          <w:sz w:val="18"/>
          <w:szCs w:val="18"/>
          <w:u w:val="single"/>
        </w:rPr>
        <w:t>Article L622-24</w:t>
      </w:r>
    </w:p>
    <w:p w:rsidR="00227CD8" w:rsidRPr="00214CD1" w:rsidRDefault="00227CD8" w:rsidP="00227CD8">
      <w:pPr>
        <w:pStyle w:val="NormalWeb"/>
        <w:jc w:val="both"/>
        <w:rPr>
          <w:sz w:val="18"/>
          <w:szCs w:val="18"/>
        </w:rPr>
      </w:pPr>
      <w:r w:rsidRPr="00214CD1">
        <w:rPr>
          <w:sz w:val="18"/>
          <w:szCs w:val="18"/>
        </w:rPr>
        <w:t xml:space="preserve">A partir de la publication du jugement, tous les créanciers dont la créance est </w:t>
      </w:r>
      <w:proofErr w:type="gramStart"/>
      <w:r w:rsidRPr="00214CD1">
        <w:rPr>
          <w:sz w:val="18"/>
          <w:szCs w:val="18"/>
        </w:rPr>
        <w:t>née</w:t>
      </w:r>
      <w:proofErr w:type="gramEnd"/>
      <w:r w:rsidRPr="00214CD1">
        <w:rPr>
          <w:sz w:val="18"/>
          <w:szCs w:val="18"/>
        </w:rPr>
        <w:t xml:space="preserve"> antérieurement au jugement d'ouverture, à l'exception des salariés, adressent la déclaration de leurs créances au mandataire judiciaire dans des délais fixés par décret en Conseil d'Etat</w:t>
      </w:r>
      <w:r w:rsidRPr="00214CD1">
        <w:rPr>
          <w:b/>
          <w:sz w:val="18"/>
          <w:szCs w:val="18"/>
          <w:u w:val="single"/>
        </w:rPr>
        <w:t>. Lorsque le créancier a été relevé de forclusion conformément à l'article L. 622-26, les délais ne courent qu'à compter de la notification de cette décision ; ils sont alors réduits de moitié</w:t>
      </w:r>
      <w:r w:rsidRPr="00214CD1">
        <w:rPr>
          <w:sz w:val="18"/>
          <w:szCs w:val="18"/>
        </w:rPr>
        <w:t xml:space="preserve">. Les créanciers titulaires d'une sûreté publiée ou liés au débiteur par un contrat publié sont avertis personnellement ou, s'il y a lieu, à domicile élu. Le délai de déclaration court à l'égard de ceux-ci à compter de la notification de cet avertissement. </w:t>
      </w:r>
    </w:p>
    <w:p w:rsidR="00227CD8" w:rsidRDefault="00227CD8" w:rsidP="00227CD8"/>
    <w:p w:rsidR="002003A2" w:rsidRPr="002003A2" w:rsidRDefault="002003A2" w:rsidP="006D4290">
      <w:pPr>
        <w:ind w:left="851"/>
        <w:jc w:val="both"/>
        <w:rPr>
          <w:i/>
          <w:sz w:val="16"/>
        </w:rPr>
      </w:pPr>
    </w:p>
    <w:sectPr w:rsidR="002003A2" w:rsidRPr="002003A2" w:rsidSect="00AB6726">
      <w:headerReference w:type="even" r:id="rId8"/>
      <w:headerReference w:type="default" r:id="rId9"/>
      <w:footerReference w:type="even" r:id="rId10"/>
      <w:footerReference w:type="default" r:id="rId11"/>
      <w:headerReference w:type="first" r:id="rId12"/>
      <w:footerReference w:type="first" r:id="rId13"/>
      <w:pgSz w:w="11906" w:h="16838" w:code="9"/>
      <w:pgMar w:top="567" w:right="851" w:bottom="567" w:left="567" w:header="720" w:footer="720"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1DA" w:rsidRDefault="002131DA">
      <w:r>
        <w:separator/>
      </w:r>
    </w:p>
  </w:endnote>
  <w:endnote w:type="continuationSeparator" w:id="0">
    <w:p w:rsidR="002131DA" w:rsidRDefault="00213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entaur">
    <w:altName w:val="Nyal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CFB" w:rsidRDefault="00B83CF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CFB" w:rsidRDefault="00B83CFB">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CFB" w:rsidRDefault="00EA0121" w:rsidP="00B83CFB">
    <w:pPr>
      <w:ind w:left="-284" w:right="565"/>
      <w:jc w:val="center"/>
      <w:rPr>
        <w:b/>
        <w:color w:val="0000FF"/>
        <w:u w:val="singl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4" o:spid="_x0000_s2049" type="#_x0000_t75" alt="logo_label_ags2" style="position:absolute;left:0;text-align:left;margin-left:474pt;margin-top:1.55pt;width:56.25pt;height:56.2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 o:title="logo_label_ags2"/>
        </v:shape>
      </w:pict>
    </w:r>
    <w:r>
      <w:rPr>
        <w:noProof/>
      </w:rPr>
      <w:pict>
        <v:shape id="Image 43" o:spid="_x0000_s2050" type="#_x0000_t75" alt="Afaq_9001_k" style="position:absolute;left:0;text-align:left;margin-left:26.7pt;margin-top:748.15pt;width:51pt;height:4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v:imagedata r:id="rId2" o:title="Afaq_9001_k"/>
          <w10:wrap anchorx="page" anchory="page"/>
        </v:shape>
      </w:pict>
    </w:r>
    <w:r w:rsidR="00B83CFB" w:rsidRPr="00BB6327">
      <w:rPr>
        <w:b/>
        <w:szCs w:val="16"/>
      </w:rPr>
      <w:t xml:space="preserve">Suivez l’évolution de la procédure sur </w:t>
    </w:r>
    <w:hyperlink r:id="rId3" w:history="1">
      <w:r w:rsidR="00B83CFB" w:rsidRPr="001E4FB9">
        <w:rPr>
          <w:b/>
          <w:color w:val="0000FF"/>
          <w:u w:val="single"/>
        </w:rPr>
        <w:t>www.mj-so.com</w:t>
      </w:r>
    </w:hyperlink>
    <w:r w:rsidR="00B83CFB" w:rsidRPr="001E4FB9">
      <w:rPr>
        <w:b/>
        <w:color w:val="0000FF"/>
        <w:u w:val="single"/>
      </w:rPr>
      <w:t xml:space="preserve"> </w:t>
    </w:r>
  </w:p>
  <w:p w:rsidR="00B83CFB" w:rsidRDefault="00B83CFB" w:rsidP="00B83CFB">
    <w:pPr>
      <w:ind w:left="-284" w:right="565"/>
      <w:jc w:val="center"/>
      <w:rPr>
        <w:b/>
        <w:color w:val="0000FF"/>
        <w:u w:val="single"/>
      </w:rPr>
    </w:pPr>
    <w:r w:rsidRPr="00DB0DFA">
      <w:rPr>
        <w:rFonts w:ascii="Century" w:hAnsi="Century"/>
        <w:b/>
        <w:sz w:val="18"/>
        <w:szCs w:val="18"/>
      </w:rPr>
      <w:t>Votr</w:t>
    </w:r>
    <w:r>
      <w:rPr>
        <w:rFonts w:ascii="Century" w:hAnsi="Century"/>
        <w:b/>
        <w:sz w:val="18"/>
        <w:szCs w:val="18"/>
      </w:rPr>
      <w:t>e identifiant : 10001699096</w:t>
    </w:r>
  </w:p>
  <w:p w:rsidR="00B83CFB" w:rsidRPr="005B624B" w:rsidRDefault="00B83CFB" w:rsidP="00B83CFB">
    <w:pPr>
      <w:ind w:left="-284" w:right="565"/>
      <w:jc w:val="center"/>
      <w:rPr>
        <w:b/>
        <w:color w:val="0000FF"/>
        <w:u w:val="single"/>
      </w:rPr>
    </w:pPr>
    <w:r w:rsidRPr="00DB0DFA">
      <w:rPr>
        <w:rFonts w:ascii="Century" w:hAnsi="Century"/>
        <w:b/>
        <w:sz w:val="18"/>
        <w:szCs w:val="18"/>
      </w:rPr>
      <w:t>Votre mot de passe : 1z9FGjM6</w:t>
    </w:r>
  </w:p>
  <w:p w:rsidR="00B83CFB" w:rsidRPr="00FE07A1" w:rsidRDefault="00B83CFB" w:rsidP="00B83CFB">
    <w:pPr>
      <w:widowControl w:val="0"/>
      <w:tabs>
        <w:tab w:val="left" w:pos="1701"/>
      </w:tabs>
      <w:autoSpaceDE w:val="0"/>
      <w:autoSpaceDN w:val="0"/>
      <w:adjustRightInd w:val="0"/>
      <w:jc w:val="center"/>
      <w:rPr>
        <w:rFonts w:ascii="Centaur" w:hAnsi="Centaur"/>
      </w:rPr>
    </w:pPr>
    <w:r w:rsidRPr="00FE07A1">
      <w:rPr>
        <w:rFonts w:ascii="Centaur" w:hAnsi="Centaur"/>
        <w:bCs/>
      </w:rPr>
      <w:t xml:space="preserve">Reçoit uniquement sur rendez-vous - </w:t>
    </w:r>
    <w:r w:rsidRPr="00FE07A1">
      <w:rPr>
        <w:rFonts w:ascii="Centaur" w:hAnsi="Centaur"/>
      </w:rPr>
      <w:t xml:space="preserve">Permanence téléphonique de </w:t>
    </w:r>
    <w:r>
      <w:rPr>
        <w:rFonts w:ascii="Centaur" w:hAnsi="Centaur"/>
      </w:rPr>
      <w:t>10h à 12h du lundi au jeudi.</w:t>
    </w:r>
  </w:p>
  <w:p w:rsidR="00B83CFB" w:rsidRPr="00BB6327" w:rsidRDefault="00B83CFB" w:rsidP="00B83CFB">
    <w:pPr>
      <w:widowControl w:val="0"/>
      <w:tabs>
        <w:tab w:val="left" w:pos="1701"/>
      </w:tabs>
      <w:autoSpaceDE w:val="0"/>
      <w:autoSpaceDN w:val="0"/>
      <w:adjustRightInd w:val="0"/>
      <w:jc w:val="center"/>
      <w:rPr>
        <w:rFonts w:ascii="Centaur" w:hAnsi="Centaur"/>
        <w:b/>
      </w:rPr>
    </w:pPr>
    <w:r w:rsidRPr="00BB6327">
      <w:rPr>
        <w:rFonts w:ascii="Centaur" w:hAnsi="Centaur"/>
        <w:b/>
      </w:rPr>
      <w:t xml:space="preserve">Consultez les actifs à céder sur les sites </w:t>
    </w:r>
    <w:hyperlink r:id="rId4" w:history="1">
      <w:r w:rsidRPr="00BB6327">
        <w:rPr>
          <w:rStyle w:val="Lienhypertexte"/>
          <w:rFonts w:ascii="Centaur" w:hAnsi="Centaur"/>
          <w:b/>
        </w:rPr>
        <w:t>www.mj-so.com</w:t>
      </w:r>
    </w:hyperlink>
    <w:r w:rsidRPr="00BB6327">
      <w:rPr>
        <w:rFonts w:ascii="Centaur" w:hAnsi="Centaur"/>
        <w:b/>
      </w:rPr>
      <w:t xml:space="preserve"> - </w:t>
    </w:r>
    <w:r w:rsidRPr="00BB6327">
      <w:rPr>
        <w:rFonts w:ascii="Centaur" w:hAnsi="Centaur"/>
        <w:b/>
        <w:u w:val="single"/>
      </w:rPr>
      <w:t>ventes-actifs.cnajmj.fr</w:t>
    </w:r>
  </w:p>
  <w:p w:rsidR="00B83CFB" w:rsidRPr="00BB6327" w:rsidRDefault="00B83CFB" w:rsidP="00B83CFB">
    <w:pPr>
      <w:widowControl w:val="0"/>
      <w:tabs>
        <w:tab w:val="left" w:pos="1701"/>
      </w:tabs>
      <w:autoSpaceDE w:val="0"/>
      <w:autoSpaceDN w:val="0"/>
      <w:adjustRightInd w:val="0"/>
      <w:jc w:val="center"/>
      <w:rPr>
        <w:rFonts w:ascii="Centaur" w:hAnsi="Centaur"/>
        <w:b/>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1DA" w:rsidRDefault="002131DA">
      <w:r>
        <w:separator/>
      </w:r>
    </w:p>
  </w:footnote>
  <w:footnote w:type="continuationSeparator" w:id="0">
    <w:p w:rsidR="002131DA" w:rsidRDefault="002131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CFB" w:rsidRDefault="00B83CF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CFB" w:rsidRDefault="00B83CFB">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B6F" w:rsidRPr="00474335" w:rsidRDefault="00BC4B6F" w:rsidP="00BC4B6F">
    <w:pPr>
      <w:pStyle w:val="Sansinterligne"/>
      <w:ind w:left="-284" w:right="-284"/>
      <w:jc w:val="center"/>
      <w:rPr>
        <w:rFonts w:ascii="Century" w:hAnsi="Century"/>
        <w:b/>
        <w:sz w:val="36"/>
        <w:szCs w:val="36"/>
      </w:rPr>
    </w:pPr>
    <w:bookmarkStart w:id="13" w:name="SLOGO_NOM_0"/>
    <w:r w:rsidRPr="00474335">
      <w:rPr>
        <w:rFonts w:ascii="Century" w:hAnsi="Century"/>
        <w:b/>
        <w:sz w:val="36"/>
        <w:szCs w:val="36"/>
      </w:rPr>
      <w:t>Selarl MALMEZAT-PRAT - LUCAS-DABADIE</w:t>
    </w:r>
    <w:bookmarkEnd w:id="13"/>
    <w:r w:rsidRPr="00474335">
      <w:rPr>
        <w:rFonts w:ascii="Century" w:hAnsi="Century"/>
        <w:b/>
        <w:sz w:val="36"/>
        <w:szCs w:val="36"/>
      </w:rPr>
      <w:t xml:space="preserve"> </w:t>
    </w:r>
  </w:p>
  <w:p w:rsidR="00BC4B6F" w:rsidRPr="006D5628" w:rsidRDefault="00BC4B6F" w:rsidP="00BC4B6F">
    <w:pPr>
      <w:pStyle w:val="Sansinterligne"/>
      <w:ind w:left="-284" w:right="-284"/>
      <w:jc w:val="center"/>
      <w:rPr>
        <w:rFonts w:ascii="Century" w:hAnsi="Century"/>
        <w:sz w:val="20"/>
      </w:rPr>
    </w:pPr>
    <w:r w:rsidRPr="006D5628">
      <w:rPr>
        <w:rFonts w:ascii="Century" w:hAnsi="Century"/>
        <w:sz w:val="20"/>
      </w:rPr>
      <w:t>Mandataires Judiciaires à</w:t>
    </w:r>
    <w:r>
      <w:rPr>
        <w:rFonts w:ascii="Century" w:hAnsi="Century"/>
        <w:sz w:val="20"/>
      </w:rPr>
      <w:t xml:space="preserve"> la sauvegarde, a</w:t>
    </w:r>
    <w:r w:rsidRPr="006D5628">
      <w:rPr>
        <w:rFonts w:ascii="Century" w:hAnsi="Century"/>
        <w:sz w:val="20"/>
      </w:rPr>
      <w:t>u redressement et à la liquidation judiciaire des entreprises</w:t>
    </w:r>
  </w:p>
  <w:p w:rsidR="00BC4B6F" w:rsidRPr="006D5628" w:rsidRDefault="00BC4B6F" w:rsidP="00BC4B6F">
    <w:pPr>
      <w:pStyle w:val="Sansinterligne"/>
      <w:ind w:left="-284" w:right="-284"/>
      <w:jc w:val="center"/>
      <w:rPr>
        <w:rFonts w:ascii="Century" w:hAnsi="Century"/>
      </w:rPr>
    </w:pPr>
    <w:bookmarkStart w:id="14" w:name="SLOGO_RUE1_0"/>
    <w:r w:rsidRPr="00EA0121">
      <w:rPr>
        <w:rFonts w:ascii="Century" w:hAnsi="Century"/>
      </w:rPr>
      <w:t>123, avenue Thiers</w:t>
    </w:r>
    <w:bookmarkEnd w:id="14"/>
    <w:r w:rsidRPr="006D5628">
      <w:rPr>
        <w:rFonts w:ascii="Century" w:hAnsi="Century"/>
      </w:rPr>
      <w:t xml:space="preserve">  –</w:t>
    </w:r>
    <w:bookmarkStart w:id="15" w:name="SLOGO_BURDIS_0"/>
    <w:r w:rsidRPr="006D5628">
      <w:rPr>
        <w:rFonts w:ascii="Century" w:hAnsi="Century"/>
      </w:rPr>
      <w:t xml:space="preserve"> 33100 BORDEAUX</w:t>
    </w:r>
    <w:bookmarkEnd w:id="15"/>
    <w:r w:rsidRPr="006D5628">
      <w:rPr>
        <w:rFonts w:ascii="Century" w:hAnsi="Century"/>
        <w:sz w:val="28"/>
      </w:rPr>
      <w:t xml:space="preserve"> </w:t>
    </w:r>
    <w:r w:rsidRPr="006D5628">
      <w:rPr>
        <w:rFonts w:ascii="Century" w:hAnsi="Century"/>
      </w:rPr>
      <w:t xml:space="preserve">/ </w:t>
    </w:r>
    <w:proofErr w:type="gramStart"/>
    <w:r w:rsidRPr="006D5628">
      <w:rPr>
        <w:rFonts w:ascii="Century" w:hAnsi="Century"/>
      </w:rPr>
      <w:t>RCS :</w:t>
    </w:r>
    <w:proofErr w:type="gramEnd"/>
    <w:r w:rsidRPr="006D5628">
      <w:rPr>
        <w:rFonts w:ascii="Century" w:hAnsi="Century"/>
      </w:rPr>
      <w:t xml:space="preserve"> 44480979200021</w:t>
    </w:r>
  </w:p>
  <w:p w:rsidR="00BC4B6F" w:rsidRPr="000A15DE" w:rsidRDefault="00BC4B6F" w:rsidP="00BC4B6F">
    <w:pPr>
      <w:pStyle w:val="Sansinterligne"/>
      <w:ind w:left="-284" w:right="-284"/>
      <w:jc w:val="center"/>
      <w:rPr>
        <w:rFonts w:ascii="Times New Roman" w:hAnsi="Times New Roman"/>
        <w:color w:val="0070C0"/>
        <w:sz w:val="18"/>
      </w:rPr>
    </w:pPr>
    <w:r w:rsidRPr="006D5628">
      <w:rPr>
        <w:rFonts w:ascii="Century" w:hAnsi="Century"/>
        <w:sz w:val="18"/>
      </w:rPr>
      <w:t>Tél : 05 56 79 16 58 – Fax : 05 56 79 09 65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BARREOUTILS" w:val="CREA01"/>
    <w:docVar w:name="ID" w:val="0000000114"/>
    <w:docVar w:name="WLL" w:val="F:\SELARL\WSYNDIC\WLL32\Cyrus.dot"/>
  </w:docVars>
  <w:rsids>
    <w:rsidRoot w:val="0041465B"/>
    <w:rsid w:val="00022B43"/>
    <w:rsid w:val="000536AF"/>
    <w:rsid w:val="00093D1D"/>
    <w:rsid w:val="000B2B1A"/>
    <w:rsid w:val="000D68A5"/>
    <w:rsid w:val="000F4EF9"/>
    <w:rsid w:val="00102F10"/>
    <w:rsid w:val="0017775D"/>
    <w:rsid w:val="0019602D"/>
    <w:rsid w:val="002003A2"/>
    <w:rsid w:val="002131DA"/>
    <w:rsid w:val="00227CD8"/>
    <w:rsid w:val="00264DD1"/>
    <w:rsid w:val="002751DC"/>
    <w:rsid w:val="002B781E"/>
    <w:rsid w:val="002F6885"/>
    <w:rsid w:val="0034074D"/>
    <w:rsid w:val="00343D8A"/>
    <w:rsid w:val="00391784"/>
    <w:rsid w:val="003B52A1"/>
    <w:rsid w:val="0041465B"/>
    <w:rsid w:val="004F7124"/>
    <w:rsid w:val="00517B74"/>
    <w:rsid w:val="0060041B"/>
    <w:rsid w:val="006A7252"/>
    <w:rsid w:val="006D4290"/>
    <w:rsid w:val="006D7B7C"/>
    <w:rsid w:val="007227D5"/>
    <w:rsid w:val="00723DBF"/>
    <w:rsid w:val="00766258"/>
    <w:rsid w:val="007B133B"/>
    <w:rsid w:val="007C7C10"/>
    <w:rsid w:val="00806397"/>
    <w:rsid w:val="00831DC6"/>
    <w:rsid w:val="00861520"/>
    <w:rsid w:val="00865CF8"/>
    <w:rsid w:val="008B0871"/>
    <w:rsid w:val="008B4886"/>
    <w:rsid w:val="008C12F3"/>
    <w:rsid w:val="00905B3C"/>
    <w:rsid w:val="009367CE"/>
    <w:rsid w:val="009D258D"/>
    <w:rsid w:val="009E1161"/>
    <w:rsid w:val="00A7093F"/>
    <w:rsid w:val="00A90BF3"/>
    <w:rsid w:val="00AA4463"/>
    <w:rsid w:val="00AB4836"/>
    <w:rsid w:val="00AB6726"/>
    <w:rsid w:val="00B02B47"/>
    <w:rsid w:val="00B34025"/>
    <w:rsid w:val="00B40007"/>
    <w:rsid w:val="00B83CFB"/>
    <w:rsid w:val="00BC4B6F"/>
    <w:rsid w:val="00BF7323"/>
    <w:rsid w:val="00C31EDB"/>
    <w:rsid w:val="00C3341F"/>
    <w:rsid w:val="00C3766E"/>
    <w:rsid w:val="00CB7D83"/>
    <w:rsid w:val="00CE39A8"/>
    <w:rsid w:val="00D1473A"/>
    <w:rsid w:val="00D97303"/>
    <w:rsid w:val="00E049DB"/>
    <w:rsid w:val="00E25DD0"/>
    <w:rsid w:val="00EA0121"/>
    <w:rsid w:val="00EC71E5"/>
    <w:rsid w:val="00ED37E9"/>
    <w:rsid w:val="00F03509"/>
    <w:rsid w:val="00F57D52"/>
    <w:rsid w:val="00F75B93"/>
    <w:rsid w:val="00FA1B88"/>
    <w:rsid w:val="00FD7B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5:docId w15:val="{51631A98-42A1-4EB8-9EEC-388DE3E8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02D"/>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19602D"/>
    <w:pPr>
      <w:tabs>
        <w:tab w:val="center" w:pos="4536"/>
        <w:tab w:val="right" w:pos="9072"/>
      </w:tabs>
    </w:pPr>
  </w:style>
  <w:style w:type="character" w:customStyle="1" w:styleId="En-tteCar">
    <w:name w:val="En-tête Car"/>
    <w:link w:val="En-tte"/>
    <w:uiPriority w:val="99"/>
    <w:semiHidden/>
    <w:rsid w:val="00F5400C"/>
    <w:rPr>
      <w:sz w:val="24"/>
      <w:szCs w:val="24"/>
    </w:rPr>
  </w:style>
  <w:style w:type="paragraph" w:styleId="Pieddepage">
    <w:name w:val="footer"/>
    <w:basedOn w:val="Normal"/>
    <w:link w:val="PieddepageCar"/>
    <w:uiPriority w:val="99"/>
    <w:semiHidden/>
    <w:rsid w:val="0019602D"/>
    <w:pPr>
      <w:tabs>
        <w:tab w:val="center" w:pos="4536"/>
        <w:tab w:val="right" w:pos="9072"/>
      </w:tabs>
    </w:pPr>
  </w:style>
  <w:style w:type="character" w:customStyle="1" w:styleId="PieddepageCar">
    <w:name w:val="Pied de page Car"/>
    <w:link w:val="Pieddepage"/>
    <w:uiPriority w:val="99"/>
    <w:semiHidden/>
    <w:rsid w:val="00F5400C"/>
    <w:rPr>
      <w:sz w:val="24"/>
      <w:szCs w:val="24"/>
    </w:rPr>
  </w:style>
  <w:style w:type="paragraph" w:styleId="NormalWeb">
    <w:name w:val="Normal (Web)"/>
    <w:basedOn w:val="Normal"/>
    <w:uiPriority w:val="99"/>
    <w:unhideWhenUsed/>
    <w:rsid w:val="00227CD8"/>
    <w:pPr>
      <w:spacing w:before="100" w:beforeAutospacing="1" w:after="100" w:afterAutospacing="1"/>
    </w:pPr>
  </w:style>
  <w:style w:type="paragraph" w:styleId="Sansinterligne">
    <w:name w:val="No Spacing"/>
    <w:uiPriority w:val="1"/>
    <w:qFormat/>
    <w:rsid w:val="000B2B1A"/>
    <w:rPr>
      <w:rFonts w:ascii="Calibri" w:eastAsia="Calibri" w:hAnsi="Calibri"/>
      <w:sz w:val="22"/>
      <w:szCs w:val="22"/>
      <w:lang w:eastAsia="en-US"/>
    </w:rPr>
  </w:style>
  <w:style w:type="table" w:styleId="Grilledutableau">
    <w:name w:val="Table Grid"/>
    <w:basedOn w:val="TableauNormal"/>
    <w:uiPriority w:val="59"/>
    <w:rsid w:val="000B2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B83C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http://www.mj-so.com" TargetMode="External"/><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hyperlink" Target="http://www.mj-s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627</Words>
  <Characters>3450</Characters>
  <Application>Microsoft Office Word</Application>
  <DocSecurity>0</DocSecurity>
  <Lines>28</Lines>
  <Paragraphs>8</Paragraphs>
  <ScaleCrop>false</ScaleCrop>
  <Company/>
  <LinksUpToDate>false</LinksUpToDate>
  <CharactersWithSpaces>4069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POSTE04</dc:creator>
  <cp:keywords/>
  <dc:description/>
  <cp:lastModifiedBy>Frederique</cp:lastModifiedBy>
  <cp:revision>20</cp:revision>
  <cp:lastPrinted>2001-05-25T12:16:00Z</cp:lastPrinted>
  <dcterms:created xsi:type="dcterms:W3CDTF">2012-05-03T16:26:00Z</dcterms:created>
  <dcterms:modified xsi:type="dcterms:W3CDTF">2019-12-03T14:28:00Z</dcterms:modified>
</cp:coreProperties>
</file>