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Commerce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2023J00626</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Christophe DE LA FONTAINE</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833 800 683</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5 avenue des Mondaults - 33270 FLOIRAC</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21/06/1965</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MARRAKECH (Maroc)</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